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A9" w:rsidRDefault="00FA1AF7" w:rsidP="00FA1AF7">
      <w:pPr>
        <w:jc w:val="center"/>
        <w:rPr>
          <w:rFonts w:ascii="黑体" w:eastAsia="黑体"/>
          <w:b/>
          <w:sz w:val="32"/>
          <w:szCs w:val="32"/>
        </w:rPr>
      </w:pPr>
      <w:r>
        <w:rPr>
          <w:rFonts w:ascii="黑体" w:eastAsia="黑体" w:hint="eastAsia"/>
          <w:b/>
          <w:sz w:val="32"/>
          <w:szCs w:val="32"/>
        </w:rPr>
        <w:t>北京歌华有线电视网络股份有限公司</w:t>
      </w:r>
    </w:p>
    <w:p w:rsidR="001667B6" w:rsidRDefault="00FA1AF7" w:rsidP="00FA1AF7">
      <w:pPr>
        <w:jc w:val="center"/>
        <w:rPr>
          <w:rFonts w:ascii="黑体" w:eastAsia="黑体"/>
          <w:b/>
          <w:sz w:val="32"/>
          <w:szCs w:val="32"/>
        </w:rPr>
      </w:pPr>
      <w:r>
        <w:rPr>
          <w:rFonts w:ascii="黑体" w:eastAsia="黑体" w:hint="eastAsia"/>
          <w:b/>
          <w:sz w:val="32"/>
          <w:szCs w:val="32"/>
        </w:rPr>
        <w:t>2013年半年度报告摘要</w:t>
      </w:r>
    </w:p>
    <w:p w:rsidR="00D56DF8" w:rsidRDefault="00D56DF8" w:rsidP="002D61A9">
      <w:pPr>
        <w:jc w:val="center"/>
        <w:rPr>
          <w:rFonts w:ascii="黑体" w:eastAsia="黑体"/>
          <w:b/>
          <w:sz w:val="32"/>
          <w:szCs w:val="32"/>
        </w:rPr>
      </w:pPr>
    </w:p>
    <w:p w:rsidR="00FA1AF7" w:rsidRDefault="00FA1AF7">
      <w:pPr>
        <w:outlineLvl w:val="1"/>
        <w:divId w:val="852186394"/>
        <w:rPr>
          <w:b/>
          <w:bCs/>
          <w:kern w:val="36"/>
        </w:rPr>
      </w:pPr>
      <w:r>
        <w:rPr>
          <w:rFonts w:cs="宋体" w:hint="eastAsia"/>
          <w:b/>
          <w:bCs/>
          <w:kern w:val="36"/>
        </w:rPr>
        <w:t>一、</w:t>
      </w:r>
      <w:r>
        <w:rPr>
          <w:rFonts w:cs="宋体" w:hint="eastAsia"/>
          <w:b/>
          <w:bCs/>
          <w:kern w:val="36"/>
        </w:rPr>
        <w:t xml:space="preserve"> </w:t>
      </w:r>
      <w:r>
        <w:rPr>
          <w:rFonts w:hint="eastAsia"/>
          <w:b/>
          <w:bCs/>
          <w:kern w:val="36"/>
        </w:rPr>
        <w:t xml:space="preserve"> </w:t>
      </w:r>
      <w:r>
        <w:rPr>
          <w:rFonts w:hint="eastAsia"/>
          <w:b/>
          <w:bCs/>
          <w:kern w:val="36"/>
        </w:rPr>
        <w:t>重要提示</w:t>
      </w:r>
    </w:p>
    <w:p w:rsidR="00FA1AF7" w:rsidRDefault="00FA1AF7">
      <w:pPr>
        <w:outlineLvl w:val="2"/>
        <w:divId w:val="852186394"/>
        <w:rPr>
          <w:b/>
          <w:bCs/>
          <w:kern w:val="0"/>
        </w:rPr>
      </w:pPr>
      <w:r>
        <w:rPr>
          <w:rFonts w:cs="宋体" w:hint="eastAsia"/>
          <w:b/>
          <w:bCs/>
        </w:rPr>
        <w:t xml:space="preserve">1.1 </w:t>
      </w:r>
      <w:r>
        <w:rPr>
          <w:rFonts w:hint="eastAsia"/>
          <w:b/>
          <w:bCs/>
        </w:rPr>
        <w:t xml:space="preserve"> </w:t>
      </w:r>
      <w:proofErr w:type="gramStart"/>
      <w:r>
        <w:rPr>
          <w:rFonts w:hint="eastAsia"/>
          <w:b/>
          <w:bCs/>
        </w:rPr>
        <w:t>本半年度</w:t>
      </w:r>
      <w:proofErr w:type="gramEnd"/>
      <w:r>
        <w:rPr>
          <w:rFonts w:hint="eastAsia"/>
          <w:b/>
          <w:bCs/>
        </w:rPr>
        <w:t>报告摘要来自半年度报告全文，投资者欲了解详细内容，应当仔细阅读同时刊载于上海证券交易所网站等中国证监会指定网站上的半年度报告全文。</w:t>
      </w:r>
    </w:p>
    <w:p w:rsidR="00FA1AF7" w:rsidRDefault="00FA1AF7">
      <w:pPr>
        <w:widowControl/>
        <w:divId w:val="852186394"/>
        <w:rPr>
          <w:rFonts w:hAnsi="宋体" w:cs="宋体"/>
          <w:szCs w:val="21"/>
        </w:rPr>
      </w:pPr>
    </w:p>
    <w:p w:rsidR="00FA1AF7" w:rsidRDefault="00FA1AF7">
      <w:pPr>
        <w:outlineLvl w:val="2"/>
        <w:divId w:val="852186394"/>
        <w:rPr>
          <w:b/>
          <w:bCs/>
          <w:szCs w:val="18"/>
        </w:rPr>
      </w:pPr>
      <w:r>
        <w:rPr>
          <w:rFonts w:cs="宋体" w:hint="eastAsia"/>
          <w:b/>
          <w:bCs/>
        </w:rPr>
        <w:t xml:space="preserve">1.2 </w:t>
      </w:r>
      <w:r>
        <w:rPr>
          <w:rFonts w:hint="eastAsia"/>
          <w:b/>
          <w:bCs/>
        </w:rPr>
        <w:t xml:space="preserve"> </w:t>
      </w:r>
      <w:r>
        <w:rPr>
          <w:rFonts w:hint="eastAsia"/>
          <w:b/>
          <w:bCs/>
        </w:rPr>
        <w:t>公司简介</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02"/>
        <w:gridCol w:w="2066"/>
        <w:gridCol w:w="2066"/>
        <w:gridCol w:w="2066"/>
      </w:tblGrid>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股票简称</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歌华有线</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股票代码</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600037</w:t>
            </w:r>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股票上市交易所</w:t>
            </w:r>
          </w:p>
        </w:tc>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上海证券交易所</w:t>
            </w:r>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股票简称</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proofErr w:type="gramStart"/>
            <w:r>
              <w:rPr>
                <w:rFonts w:hAnsi="宋体" w:cs="宋体" w:hint="eastAsia"/>
                <w:szCs w:val="21"/>
              </w:rPr>
              <w:t>歌华转债</w:t>
            </w:r>
            <w:proofErr w:type="gramEnd"/>
          </w:p>
        </w:tc>
        <w:tc>
          <w:tcPr>
            <w:tcW w:w="11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股票代码</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110011</w:t>
            </w:r>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股票上市交易所</w:t>
            </w:r>
          </w:p>
        </w:tc>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上海证券交易所</w:t>
            </w:r>
          </w:p>
        </w:tc>
      </w:tr>
    </w:tbl>
    <w:p w:rsidR="00FA1AF7" w:rsidRDefault="00FA1AF7">
      <w:pPr>
        <w:widowControl/>
        <w:divId w:val="852186394"/>
        <w:rPr>
          <w:rFonts w:hAnsi="宋体" w:cs="宋体"/>
          <w:vanish/>
          <w:szCs w:val="21"/>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00"/>
        <w:gridCol w:w="3100"/>
        <w:gridCol w:w="3100"/>
      </w:tblGrid>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联系人和联系方式</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董事会秘书</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证券事务代表</w:t>
            </w:r>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姓名</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梁彦军</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proofErr w:type="gramStart"/>
            <w:r>
              <w:rPr>
                <w:rFonts w:hAnsi="宋体" w:cs="宋体" w:hint="eastAsia"/>
                <w:szCs w:val="21"/>
              </w:rPr>
              <w:t>于铁静</w:t>
            </w:r>
            <w:proofErr w:type="gramEnd"/>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电话</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010-62364114</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010-62035573</w:t>
            </w:r>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传真</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010-62364114</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010-62035573</w:t>
            </w:r>
          </w:p>
        </w:tc>
      </w:tr>
      <w:tr w:rsidR="00FA1AF7">
        <w:trPr>
          <w:divId w:val="852186394"/>
        </w:trPr>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电子信箱</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600037@bgctv.com.cn</w:t>
            </w:r>
          </w:p>
        </w:tc>
        <w:tc>
          <w:tcPr>
            <w:tcW w:w="165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110011@bgctv.com.cn</w:t>
            </w:r>
          </w:p>
        </w:tc>
      </w:tr>
    </w:tbl>
    <w:p w:rsidR="00FA1AF7" w:rsidRDefault="00FA1AF7">
      <w:pPr>
        <w:widowControl/>
        <w:divId w:val="852186394"/>
        <w:rPr>
          <w:rFonts w:hAnsi="宋体" w:cs="宋体"/>
          <w:szCs w:val="21"/>
        </w:rPr>
      </w:pPr>
    </w:p>
    <w:p w:rsidR="00FA1AF7" w:rsidRDefault="00FA1AF7">
      <w:pPr>
        <w:outlineLvl w:val="1"/>
        <w:divId w:val="852186394"/>
        <w:rPr>
          <w:b/>
          <w:bCs/>
          <w:kern w:val="36"/>
          <w:szCs w:val="18"/>
        </w:rPr>
      </w:pPr>
      <w:r>
        <w:rPr>
          <w:rFonts w:cs="宋体" w:hint="eastAsia"/>
          <w:b/>
          <w:bCs/>
          <w:kern w:val="36"/>
        </w:rPr>
        <w:t>二、</w:t>
      </w:r>
      <w:r>
        <w:rPr>
          <w:rFonts w:cs="宋体" w:hint="eastAsia"/>
          <w:b/>
          <w:bCs/>
          <w:kern w:val="36"/>
        </w:rPr>
        <w:t xml:space="preserve"> </w:t>
      </w:r>
      <w:r>
        <w:rPr>
          <w:rFonts w:hint="eastAsia"/>
          <w:b/>
          <w:bCs/>
          <w:kern w:val="36"/>
        </w:rPr>
        <w:t xml:space="preserve"> </w:t>
      </w:r>
      <w:r>
        <w:rPr>
          <w:rFonts w:hint="eastAsia"/>
          <w:b/>
          <w:bCs/>
          <w:kern w:val="36"/>
        </w:rPr>
        <w:t>主要财务数据和股东变化</w:t>
      </w:r>
    </w:p>
    <w:p w:rsidR="00FA1AF7" w:rsidRDefault="00FA1AF7">
      <w:pPr>
        <w:outlineLvl w:val="2"/>
        <w:divId w:val="852186394"/>
        <w:rPr>
          <w:b/>
          <w:bCs/>
          <w:kern w:val="0"/>
        </w:rPr>
      </w:pPr>
      <w:r>
        <w:rPr>
          <w:rFonts w:cs="宋体" w:hint="eastAsia"/>
          <w:b/>
          <w:bCs/>
        </w:rPr>
        <w:t xml:space="preserve">2.1 </w:t>
      </w:r>
      <w:r>
        <w:rPr>
          <w:rFonts w:hint="eastAsia"/>
          <w:b/>
          <w:bCs/>
        </w:rPr>
        <w:t xml:space="preserve"> </w:t>
      </w:r>
      <w:r>
        <w:rPr>
          <w:rFonts w:hint="eastAsia"/>
          <w:b/>
          <w:bCs/>
        </w:rPr>
        <w:t>主要财务数据</w:t>
      </w:r>
    </w:p>
    <w:p w:rsidR="00FA1AF7" w:rsidRDefault="00FA1AF7">
      <w:pPr>
        <w:jc w:val="right"/>
        <w:divId w:val="852186394"/>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720"/>
        <w:gridCol w:w="1860"/>
        <w:gridCol w:w="1860"/>
        <w:gridCol w:w="1860"/>
      </w:tblGrid>
      <w:tr w:rsidR="00FA1AF7">
        <w:trPr>
          <w:divId w:val="852186394"/>
        </w:trPr>
        <w:tc>
          <w:tcPr>
            <w:tcW w:w="2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本报告期末</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上年度末</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本报告期末比上年度末增减</w:t>
            </w:r>
            <w:r>
              <w:rPr>
                <w:rFonts w:hAnsi="宋体" w:cs="宋体" w:hint="eastAsia"/>
                <w:szCs w:val="21"/>
              </w:rPr>
              <w:t>(%)</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总资产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10,360,174,447.92</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10,427,703,902.47</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-0.65</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归属于上市公司股东的净资产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5,555,933,051.19</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5,507,707,696.55</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0.88</w:t>
            </w:r>
          </w:p>
        </w:tc>
      </w:tr>
      <w:tr w:rsidR="00FA1AF7">
        <w:trPr>
          <w:divId w:val="852186394"/>
        </w:trPr>
        <w:tc>
          <w:tcPr>
            <w:tcW w:w="2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本报告期</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上年同期</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本报告期比上年同期增减</w:t>
            </w:r>
            <w:r>
              <w:rPr>
                <w:rFonts w:hAnsi="宋体" w:cs="宋体" w:hint="eastAsia"/>
                <w:szCs w:val="21"/>
              </w:rPr>
              <w:t>(%)</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383,249,774.19</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293,155,940.76</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30.73</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1,026,675,198.77</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960,906,497.76</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6.84</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归属于上市公司股东的净利润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154,256,890.21</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125,284,957.03</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23.12</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归属于上市公司股东的扣除非经常性损益的净利润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-53,641,065.97</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-85,366,879.06</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37.16</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加权平均净资产收益率（</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增加</w:t>
            </w:r>
            <w:r>
              <w:rPr>
                <w:rFonts w:hAnsi="宋体" w:cs="宋体" w:hint="eastAsia"/>
                <w:szCs w:val="21"/>
              </w:rPr>
              <w:t>0.42</w:t>
            </w:r>
            <w:r>
              <w:rPr>
                <w:rFonts w:hAnsi="宋体" w:cs="宋体" w:hint="eastAsia"/>
                <w:szCs w:val="21"/>
              </w:rPr>
              <w:t>个百分点</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基本每股收益（元／股）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0.1455</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0.1182</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23.10</w:t>
            </w:r>
          </w:p>
        </w:tc>
      </w:tr>
      <w:tr w:rsidR="00FA1AF7">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稀释每股收益（元／股）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0.1455</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0.1182</w:t>
            </w:r>
          </w:p>
        </w:tc>
        <w:tc>
          <w:tcPr>
            <w:tcW w:w="0" w:type="auto"/>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23.10</w:t>
            </w:r>
          </w:p>
        </w:tc>
      </w:tr>
    </w:tbl>
    <w:p w:rsidR="00FA1AF7" w:rsidRDefault="00FA1AF7">
      <w:pPr>
        <w:widowControl/>
        <w:divId w:val="852186394"/>
        <w:rPr>
          <w:rFonts w:hAnsi="宋体" w:cs="宋体"/>
          <w:szCs w:val="21"/>
        </w:rPr>
      </w:pPr>
    </w:p>
    <w:p w:rsidR="00FA1AF7" w:rsidRDefault="00FA1AF7">
      <w:pPr>
        <w:outlineLvl w:val="2"/>
        <w:divId w:val="852186394"/>
        <w:rPr>
          <w:b/>
          <w:bCs/>
          <w:szCs w:val="18"/>
        </w:rPr>
      </w:pPr>
      <w:r>
        <w:rPr>
          <w:rFonts w:cs="宋体" w:hint="eastAsia"/>
          <w:b/>
          <w:bCs/>
        </w:rPr>
        <w:t xml:space="preserve">2.2 </w:t>
      </w:r>
      <w:r>
        <w:rPr>
          <w:rFonts w:hint="eastAsia"/>
          <w:b/>
          <w:bCs/>
        </w:rPr>
        <w:t xml:space="preserve"> </w:t>
      </w:r>
      <w:r>
        <w:rPr>
          <w:rFonts w:hint="eastAsia"/>
          <w:b/>
          <w:bCs/>
        </w:rPr>
        <w:t>前</w:t>
      </w:r>
      <w:r>
        <w:rPr>
          <w:rFonts w:hint="eastAsia"/>
          <w:b/>
          <w:bCs/>
        </w:rPr>
        <w:t>10</w:t>
      </w:r>
      <w:r>
        <w:rPr>
          <w:rFonts w:hint="eastAsia"/>
          <w:b/>
          <w:bCs/>
        </w:rPr>
        <w:t>名股东持股情况表</w:t>
      </w:r>
    </w:p>
    <w:p w:rsidR="00FA1AF7" w:rsidRDefault="00FA1AF7">
      <w:pPr>
        <w:jc w:val="right"/>
        <w:divId w:val="852186394"/>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2841"/>
        <w:gridCol w:w="205"/>
        <w:gridCol w:w="930"/>
        <w:gridCol w:w="1135"/>
        <w:gridCol w:w="1559"/>
        <w:gridCol w:w="1276"/>
        <w:gridCol w:w="1354"/>
      </w:tblGrid>
      <w:tr w:rsidR="00FA1AF7" w:rsidTr="00E05395">
        <w:trPr>
          <w:divId w:val="852186394"/>
        </w:trPr>
        <w:tc>
          <w:tcPr>
            <w:tcW w:w="2748" w:type="pct"/>
            <w:gridSpan w:val="4"/>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报告期末股东总数</w:t>
            </w:r>
          </w:p>
        </w:tc>
        <w:tc>
          <w:tcPr>
            <w:tcW w:w="2252" w:type="pct"/>
            <w:gridSpan w:val="3"/>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117,720</w:t>
            </w:r>
          </w:p>
        </w:tc>
      </w:tr>
      <w:tr w:rsidR="00FA1AF7" w:rsidTr="00E05395">
        <w:trPr>
          <w:divId w:val="852186394"/>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lastRenderedPageBreak/>
              <w:t>前</w:t>
            </w:r>
            <w:r>
              <w:rPr>
                <w:rFonts w:hAnsi="宋体" w:cs="宋体" w:hint="eastAsia"/>
                <w:szCs w:val="21"/>
              </w:rPr>
              <w:t>10</w:t>
            </w:r>
            <w:r>
              <w:rPr>
                <w:rFonts w:hAnsi="宋体" w:cs="宋体" w:hint="eastAsia"/>
                <w:szCs w:val="21"/>
              </w:rPr>
              <w:t>名股东持股情况</w:t>
            </w: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股东名称</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股东性质</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持股比例</w:t>
            </w:r>
            <w:r>
              <w:rPr>
                <w:rFonts w:hAnsi="宋体" w:cs="宋体" w:hint="eastAsia"/>
                <w:szCs w:val="21"/>
              </w:rPr>
              <w:t>(%)</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持股数量</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持有有限</w:t>
            </w:r>
            <w:proofErr w:type="gramStart"/>
            <w:r>
              <w:rPr>
                <w:rFonts w:hAnsi="宋体" w:cs="宋体" w:hint="eastAsia"/>
                <w:szCs w:val="21"/>
              </w:rPr>
              <w:t>售条件</w:t>
            </w:r>
            <w:proofErr w:type="gramEnd"/>
            <w:r>
              <w:rPr>
                <w:rFonts w:hAnsi="宋体" w:cs="宋体" w:hint="eastAsia"/>
                <w:szCs w:val="21"/>
              </w:rPr>
              <w:t>的股份数量</w:t>
            </w:r>
          </w:p>
        </w:tc>
        <w:tc>
          <w:tcPr>
            <w:tcW w:w="7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center"/>
              <w:rPr>
                <w:rFonts w:ascii="宋体" w:hAnsi="宋体" w:cs="宋体"/>
                <w:szCs w:val="21"/>
              </w:rPr>
            </w:pPr>
            <w:r>
              <w:rPr>
                <w:rFonts w:hAnsi="宋体" w:cs="宋体" w:hint="eastAsia"/>
                <w:szCs w:val="21"/>
              </w:rPr>
              <w:t>质押或冻结的股份数量</w:t>
            </w: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北京北广传媒投资发展中心</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44.98</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476,919,370</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rsidP="00E05395">
            <w:pPr>
              <w:widowControl/>
              <w:rPr>
                <w:rFonts w:ascii="宋体" w:hAnsi="宋体" w:cs="宋体"/>
                <w:szCs w:val="21"/>
              </w:rPr>
            </w:pPr>
            <w:r>
              <w:rPr>
                <w:rFonts w:hAnsi="宋体" w:cs="宋体" w:hint="eastAsia"/>
                <w:szCs w:val="21"/>
              </w:rPr>
              <w:t>北京北青文化艺术公司</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0.96</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10,153,150</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rsidP="00E05395">
            <w:pPr>
              <w:widowControl/>
              <w:rPr>
                <w:rFonts w:ascii="宋体" w:hAnsi="宋体" w:cs="宋体"/>
                <w:szCs w:val="21"/>
              </w:rPr>
            </w:pPr>
            <w:r>
              <w:rPr>
                <w:rFonts w:hAnsi="宋体" w:cs="宋体" w:hint="eastAsia"/>
                <w:szCs w:val="21"/>
              </w:rPr>
              <w:t>北京有线全天电视购物有限责任公司 </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0.66</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6,973,323</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rsidP="00E05395">
            <w:pPr>
              <w:widowControl/>
              <w:rPr>
                <w:rFonts w:ascii="宋体" w:hAnsi="宋体" w:cs="宋体"/>
                <w:szCs w:val="21"/>
              </w:rPr>
            </w:pPr>
            <w:r>
              <w:rPr>
                <w:rFonts w:hAnsi="宋体" w:cs="宋体" w:hint="eastAsia"/>
                <w:szCs w:val="21"/>
              </w:rPr>
              <w:t>北京出版集团有限责任公司 </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0.49</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5,230,000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任民</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0.39</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4,105,000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张炜</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0.35</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3,703,123</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proofErr w:type="gramStart"/>
            <w:r>
              <w:rPr>
                <w:rFonts w:hAnsi="宋体" w:cs="宋体" w:hint="eastAsia"/>
                <w:szCs w:val="21"/>
              </w:rPr>
              <w:t>玺萌融</w:t>
            </w:r>
            <w:proofErr w:type="gramEnd"/>
            <w:r>
              <w:rPr>
                <w:rFonts w:hAnsi="宋体" w:cs="宋体" w:hint="eastAsia"/>
                <w:szCs w:val="21"/>
              </w:rPr>
              <w:t>投资控股有限公司        </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0.25</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2,680,000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温建军</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0.20</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2,075,605</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rsidP="00E05395">
            <w:pPr>
              <w:widowControl/>
              <w:rPr>
                <w:rFonts w:ascii="宋体" w:hAnsi="宋体" w:cs="宋体"/>
                <w:szCs w:val="21"/>
              </w:rPr>
            </w:pPr>
            <w:r>
              <w:rPr>
                <w:rFonts w:hAnsi="宋体" w:cs="宋体" w:hint="eastAsia"/>
                <w:szCs w:val="21"/>
              </w:rPr>
              <w:t>中意人寿保险有限公司－传统保险产品－股票账户 </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0.18</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1,855,772</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E05395" w:rsidTr="00E05395">
        <w:trPr>
          <w:divId w:val="852186394"/>
        </w:trPr>
        <w:tc>
          <w:tcPr>
            <w:tcW w:w="1528" w:type="pct"/>
            <w:tcBorders>
              <w:top w:val="outset" w:sz="6" w:space="0" w:color="auto"/>
              <w:left w:val="outset" w:sz="6" w:space="0" w:color="auto"/>
              <w:bottom w:val="outset" w:sz="6" w:space="0" w:color="auto"/>
              <w:right w:val="outset" w:sz="6" w:space="0" w:color="auto"/>
            </w:tcBorders>
            <w:vAlign w:val="center"/>
            <w:hideMark/>
          </w:tcPr>
          <w:p w:rsidR="00FA1AF7" w:rsidRDefault="00FA1AF7" w:rsidP="00E05395">
            <w:pPr>
              <w:widowControl/>
              <w:rPr>
                <w:rFonts w:ascii="宋体" w:hAnsi="宋体" w:cs="宋体"/>
                <w:szCs w:val="21"/>
              </w:rPr>
            </w:pPr>
            <w:r>
              <w:rPr>
                <w:rFonts w:hAnsi="宋体" w:cs="宋体" w:hint="eastAsia"/>
                <w:szCs w:val="21"/>
              </w:rPr>
              <w:t>章俊献  </w:t>
            </w:r>
          </w:p>
        </w:tc>
        <w:tc>
          <w:tcPr>
            <w:tcW w:w="610"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0.16</w:t>
            </w:r>
          </w:p>
        </w:tc>
        <w:tc>
          <w:tcPr>
            <w:tcW w:w="838"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r>
              <w:rPr>
                <w:rFonts w:hAnsi="宋体" w:cs="宋体" w:hint="eastAsia"/>
                <w:szCs w:val="21"/>
              </w:rPr>
              <w:t>1,700,000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jc w:val="right"/>
              <w:rPr>
                <w:rFonts w:ascii="宋体" w:hAnsi="宋体" w:cs="宋体"/>
                <w:szCs w:val="21"/>
              </w:rPr>
            </w:pPr>
          </w:p>
        </w:tc>
        <w:tc>
          <w:tcPr>
            <w:tcW w:w="7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669"/>
              <w:gridCol w:w="670"/>
            </w:tblGrid>
            <w:tr w:rsidR="00FA1AF7" w:rsidTr="00E05395">
              <w:tc>
                <w:tcPr>
                  <w:tcW w:w="2500" w:type="pct"/>
                  <w:vAlign w:val="center"/>
                  <w:hideMark/>
                </w:tcPr>
                <w:p w:rsidR="00FA1AF7" w:rsidRDefault="00FA1AF7">
                  <w:pPr>
                    <w:widowControl/>
                    <w:rPr>
                      <w:rFonts w:ascii="宋体" w:hAnsi="宋体" w:cs="宋体"/>
                      <w:szCs w:val="21"/>
                    </w:rPr>
                  </w:pPr>
                  <w:r>
                    <w:rPr>
                      <w:rFonts w:hAnsi="宋体" w:cs="宋体" w:hint="eastAsia"/>
                      <w:szCs w:val="21"/>
                    </w:rPr>
                    <w:t>无</w:t>
                  </w:r>
                </w:p>
              </w:tc>
              <w:tc>
                <w:tcPr>
                  <w:tcW w:w="2500" w:type="pct"/>
                  <w:vAlign w:val="center"/>
                  <w:hideMark/>
                </w:tcPr>
                <w:p w:rsidR="00FA1AF7" w:rsidRDefault="00FA1AF7">
                  <w:pPr>
                    <w:widowControl/>
                    <w:jc w:val="right"/>
                    <w:rPr>
                      <w:rFonts w:ascii="宋体" w:hAnsi="宋体" w:cs="宋体"/>
                      <w:szCs w:val="21"/>
                    </w:rPr>
                  </w:pPr>
                </w:p>
              </w:tc>
            </w:tr>
          </w:tbl>
          <w:p w:rsidR="00FA1AF7" w:rsidRDefault="00FA1AF7">
            <w:pPr>
              <w:widowControl/>
              <w:rPr>
                <w:rFonts w:ascii="宋体" w:hAnsi="宋体" w:cs="宋体"/>
                <w:szCs w:val="21"/>
              </w:rPr>
            </w:pPr>
          </w:p>
        </w:tc>
      </w:tr>
      <w:tr w:rsidR="00FA1AF7" w:rsidTr="00E05395">
        <w:trPr>
          <w:divId w:val="852186394"/>
        </w:trPr>
        <w:tc>
          <w:tcPr>
            <w:tcW w:w="1638" w:type="pct"/>
            <w:gridSpan w:val="2"/>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上述股东关联关系或一致行动的说明</w:t>
            </w:r>
          </w:p>
        </w:tc>
        <w:tc>
          <w:tcPr>
            <w:tcW w:w="3362" w:type="pct"/>
            <w:gridSpan w:val="5"/>
            <w:tcBorders>
              <w:top w:val="outset" w:sz="6" w:space="0" w:color="auto"/>
              <w:left w:val="outset" w:sz="6" w:space="0" w:color="auto"/>
              <w:bottom w:val="outset" w:sz="6" w:space="0" w:color="auto"/>
              <w:right w:val="outset" w:sz="6" w:space="0" w:color="auto"/>
            </w:tcBorders>
            <w:vAlign w:val="center"/>
            <w:hideMark/>
          </w:tcPr>
          <w:p w:rsidR="00FA1AF7" w:rsidRDefault="00FA1AF7">
            <w:pPr>
              <w:widowControl/>
              <w:rPr>
                <w:rFonts w:ascii="宋体" w:hAnsi="宋体" w:cs="宋体"/>
                <w:szCs w:val="21"/>
              </w:rPr>
            </w:pPr>
            <w:r>
              <w:rPr>
                <w:rFonts w:hAnsi="宋体" w:cs="宋体" w:hint="eastAsia"/>
                <w:szCs w:val="21"/>
              </w:rPr>
              <w:t>1</w:t>
            </w:r>
            <w:r>
              <w:rPr>
                <w:rFonts w:hAnsi="宋体" w:cs="宋体" w:hint="eastAsia"/>
                <w:szCs w:val="21"/>
              </w:rPr>
              <w:t>、北京有线全天电视购物有限责任公司与第一大股东北京北广传媒投资发展中心同属同一实际控制人，其他前八名无限</w:t>
            </w:r>
            <w:proofErr w:type="gramStart"/>
            <w:r>
              <w:rPr>
                <w:rFonts w:hAnsi="宋体" w:cs="宋体" w:hint="eastAsia"/>
                <w:szCs w:val="21"/>
              </w:rPr>
              <w:t>售条件</w:t>
            </w:r>
            <w:proofErr w:type="gramEnd"/>
            <w:r>
              <w:rPr>
                <w:rFonts w:hAnsi="宋体" w:cs="宋体" w:hint="eastAsia"/>
                <w:szCs w:val="21"/>
              </w:rPr>
              <w:t>的股东与第一大股东之间不存在关联关系。</w:t>
            </w:r>
            <w:r>
              <w:rPr>
                <w:rFonts w:hAnsi="宋体" w:cs="宋体" w:hint="eastAsia"/>
                <w:szCs w:val="21"/>
              </w:rPr>
              <w:br/>
              <w:t>2</w:t>
            </w:r>
            <w:r>
              <w:rPr>
                <w:rFonts w:hAnsi="宋体" w:cs="宋体" w:hint="eastAsia"/>
                <w:szCs w:val="21"/>
              </w:rPr>
              <w:t>、公司未知其他股东之间是否存在关联关系或属于《上市公司收购管理办法》规定的一致行动人。</w:t>
            </w:r>
          </w:p>
        </w:tc>
      </w:tr>
    </w:tbl>
    <w:p w:rsidR="00FA1AF7" w:rsidRDefault="00FA1AF7">
      <w:pPr>
        <w:widowControl/>
        <w:divId w:val="852186394"/>
        <w:rPr>
          <w:rFonts w:hAnsi="宋体" w:cs="宋体"/>
          <w:szCs w:val="21"/>
        </w:rPr>
      </w:pPr>
    </w:p>
    <w:p w:rsidR="00FA1AF7" w:rsidRDefault="00FA1AF7">
      <w:pPr>
        <w:outlineLvl w:val="2"/>
        <w:divId w:val="852186394"/>
        <w:rPr>
          <w:b/>
          <w:bCs/>
          <w:szCs w:val="18"/>
        </w:rPr>
      </w:pPr>
      <w:r>
        <w:rPr>
          <w:rFonts w:cs="宋体" w:hint="eastAsia"/>
          <w:b/>
          <w:bCs/>
        </w:rPr>
        <w:t xml:space="preserve">2.3 </w:t>
      </w:r>
      <w:r>
        <w:rPr>
          <w:rFonts w:hint="eastAsia"/>
          <w:b/>
          <w:bCs/>
        </w:rPr>
        <w:t xml:space="preserve">  </w:t>
      </w:r>
      <w:r>
        <w:rPr>
          <w:rFonts w:hint="eastAsia"/>
          <w:b/>
          <w:bCs/>
        </w:rPr>
        <w:t>控股股东或实际控制人变更情况</w:t>
      </w:r>
    </w:p>
    <w:p w:rsidR="00FA1AF7" w:rsidRDefault="00FA1AF7">
      <w:pPr>
        <w:divId w:val="852186394"/>
      </w:pPr>
      <w:r>
        <w:rPr>
          <w:rFonts w:hint="eastAsia"/>
        </w:rPr>
        <w:t>□适用</w:t>
      </w:r>
      <w:r>
        <w:rPr>
          <w:rFonts w:hint="eastAsia"/>
        </w:rPr>
        <w:t xml:space="preserve"> </w:t>
      </w:r>
      <w:r>
        <w:rPr>
          <w:rFonts w:hint="eastAsia"/>
        </w:rPr>
        <w:t>√不适用</w:t>
      </w:r>
    </w:p>
    <w:p w:rsidR="00FA1AF7" w:rsidRDefault="00FA1AF7">
      <w:pPr>
        <w:widowControl/>
        <w:divId w:val="852186394"/>
        <w:rPr>
          <w:rFonts w:hAnsi="宋体" w:cs="宋体"/>
          <w:szCs w:val="21"/>
        </w:rPr>
      </w:pPr>
    </w:p>
    <w:p w:rsidR="00FA1AF7" w:rsidRDefault="00FA1AF7">
      <w:pPr>
        <w:outlineLvl w:val="1"/>
        <w:divId w:val="852186394"/>
        <w:rPr>
          <w:b/>
          <w:bCs/>
          <w:kern w:val="36"/>
          <w:szCs w:val="18"/>
        </w:rPr>
      </w:pPr>
      <w:r>
        <w:rPr>
          <w:rFonts w:cs="宋体" w:hint="eastAsia"/>
          <w:b/>
          <w:bCs/>
          <w:kern w:val="36"/>
        </w:rPr>
        <w:t>三、</w:t>
      </w:r>
      <w:r>
        <w:rPr>
          <w:rFonts w:cs="宋体" w:hint="eastAsia"/>
          <w:b/>
          <w:bCs/>
          <w:kern w:val="36"/>
        </w:rPr>
        <w:t xml:space="preserve"> </w:t>
      </w:r>
      <w:r>
        <w:rPr>
          <w:rFonts w:hint="eastAsia"/>
          <w:b/>
          <w:bCs/>
          <w:kern w:val="36"/>
        </w:rPr>
        <w:t xml:space="preserve"> </w:t>
      </w:r>
      <w:r>
        <w:rPr>
          <w:rFonts w:hint="eastAsia"/>
          <w:b/>
          <w:bCs/>
          <w:kern w:val="36"/>
        </w:rPr>
        <w:t>管理</w:t>
      </w:r>
      <w:proofErr w:type="gramStart"/>
      <w:r>
        <w:rPr>
          <w:rFonts w:hint="eastAsia"/>
          <w:b/>
          <w:bCs/>
          <w:kern w:val="36"/>
        </w:rPr>
        <w:t>层讨论</w:t>
      </w:r>
      <w:proofErr w:type="gramEnd"/>
      <w:r>
        <w:rPr>
          <w:rFonts w:hint="eastAsia"/>
          <w:b/>
          <w:bCs/>
          <w:kern w:val="36"/>
        </w:rPr>
        <w:t>与分析</w:t>
      </w:r>
    </w:p>
    <w:p w:rsidR="00367BED" w:rsidRDefault="00367BED" w:rsidP="00367BED">
      <w:pPr>
        <w:spacing w:line="288" w:lineRule="auto"/>
        <w:ind w:firstLineChars="200" w:firstLine="420"/>
        <w:jc w:val="left"/>
        <w:outlineLvl w:val="1"/>
        <w:divId w:val="852186394"/>
      </w:pPr>
    </w:p>
    <w:p w:rsidR="00367BED" w:rsidRDefault="00367BED" w:rsidP="00367BED">
      <w:pPr>
        <w:spacing w:line="288" w:lineRule="auto"/>
        <w:ind w:firstLineChars="200" w:firstLine="420"/>
        <w:jc w:val="left"/>
        <w:outlineLvl w:val="1"/>
        <w:divId w:val="852186394"/>
        <w:rPr>
          <w:b/>
          <w:bCs/>
          <w:szCs w:val="18"/>
        </w:rPr>
      </w:pPr>
      <w:r>
        <w:rPr>
          <w:rFonts w:hint="eastAsia"/>
        </w:rPr>
        <w:t>报告期内，公司依托“一网两平台”战略，继续推进“做优做</w:t>
      </w:r>
      <w:proofErr w:type="gramStart"/>
      <w:r>
        <w:rPr>
          <w:rFonts w:hint="eastAsia"/>
        </w:rPr>
        <w:t>强做</w:t>
      </w:r>
      <w:proofErr w:type="gramEnd"/>
      <w:r>
        <w:rPr>
          <w:rFonts w:hint="eastAsia"/>
        </w:rPr>
        <w:t>大高清交互数字电视新媒体”的核心战略，加快由传统媒介向新型媒体、由单一有线电视</w:t>
      </w:r>
      <w:proofErr w:type="gramStart"/>
      <w:r>
        <w:rPr>
          <w:rFonts w:hint="eastAsia"/>
        </w:rPr>
        <w:t>传输商向全业务</w:t>
      </w:r>
      <w:proofErr w:type="gramEnd"/>
      <w:r>
        <w:rPr>
          <w:rFonts w:hint="eastAsia"/>
        </w:rPr>
        <w:t>综合服务提供商转型。</w:t>
      </w:r>
    </w:p>
    <w:p w:rsidR="00367BED" w:rsidRDefault="00367BED" w:rsidP="00367BED">
      <w:pPr>
        <w:pStyle w:val="a7"/>
        <w:divId w:val="852186394"/>
      </w:pPr>
      <w:r>
        <w:rPr>
          <w:rFonts w:hint="eastAsia"/>
        </w:rPr>
        <w:t>公司通过推进基础设施升级和技术系统建设，全面夯实网络基础，不断提高业务承载和支撑能力；集中公司资源，抓住高清交互数字电视发展重点，在</w:t>
      </w:r>
      <w:proofErr w:type="gramStart"/>
      <w:r>
        <w:rPr>
          <w:rFonts w:hint="eastAsia"/>
        </w:rPr>
        <w:t>做优做强做</w:t>
      </w:r>
      <w:proofErr w:type="gramEnd"/>
      <w:r>
        <w:rPr>
          <w:rFonts w:hint="eastAsia"/>
        </w:rPr>
        <w:t>大高清</w:t>
      </w:r>
      <w:proofErr w:type="gramStart"/>
      <w:r>
        <w:rPr>
          <w:rFonts w:hint="eastAsia"/>
        </w:rPr>
        <w:t>交互新</w:t>
      </w:r>
      <w:proofErr w:type="gramEnd"/>
      <w:r>
        <w:rPr>
          <w:rFonts w:hint="eastAsia"/>
        </w:rPr>
        <w:t>媒体的基础上，努力提高数据业务和</w:t>
      </w:r>
      <w:r>
        <w:t xml:space="preserve">IP </w:t>
      </w:r>
      <w:r>
        <w:rPr>
          <w:rFonts w:hint="eastAsia"/>
        </w:rPr>
        <w:t>业务的市场渗透能力；大力推进技术创新、业务创新和管理创新，不断提高服务能力和服务水平，进一步提高综合运营能力和整体盈利能力。公司总体经济运行保持平稳增长。</w:t>
      </w:r>
    </w:p>
    <w:p w:rsidR="00367BED" w:rsidRDefault="00367BED" w:rsidP="00367BED">
      <w:pPr>
        <w:pStyle w:val="a7"/>
        <w:spacing w:line="288" w:lineRule="auto"/>
        <w:jc w:val="left"/>
        <w:outlineLvl w:val="1"/>
        <w:divId w:val="852186394"/>
      </w:pPr>
      <w:r>
        <w:rPr>
          <w:rFonts w:hint="eastAsia"/>
        </w:rPr>
        <w:t>截至</w:t>
      </w:r>
      <w:r>
        <w:t>2013</w:t>
      </w:r>
      <w:r>
        <w:rPr>
          <w:rFonts w:hint="eastAsia"/>
        </w:rPr>
        <w:t>年</w:t>
      </w:r>
      <w:r>
        <w:t>6</w:t>
      </w:r>
      <w:r>
        <w:rPr>
          <w:rFonts w:hint="eastAsia"/>
        </w:rPr>
        <w:t>月底，公司有线电视用户达到</w:t>
      </w:r>
      <w:r>
        <w:t>510</w:t>
      </w:r>
      <w:r>
        <w:rPr>
          <w:rFonts w:hint="eastAsia"/>
        </w:rPr>
        <w:t>万户，较去年年底增长</w:t>
      </w:r>
      <w:r>
        <w:t>12</w:t>
      </w:r>
      <w:r>
        <w:rPr>
          <w:rFonts w:hint="eastAsia"/>
        </w:rPr>
        <w:t>万户；数字电视用户</w:t>
      </w:r>
      <w:r>
        <w:t>397</w:t>
      </w:r>
      <w:r>
        <w:rPr>
          <w:rFonts w:hint="eastAsia"/>
        </w:rPr>
        <w:t>万户，高清交互数字电视用户</w:t>
      </w:r>
      <w:r>
        <w:t>333.8</w:t>
      </w:r>
      <w:r>
        <w:rPr>
          <w:rFonts w:hint="eastAsia"/>
        </w:rPr>
        <w:t>万户，集团数据业务超过</w:t>
      </w:r>
      <w:r>
        <w:t>2.5</w:t>
      </w:r>
      <w:r>
        <w:rPr>
          <w:rFonts w:hint="eastAsia"/>
        </w:rPr>
        <w:t>万线，个人宽带用户超过</w:t>
      </w:r>
      <w:r>
        <w:t>20</w:t>
      </w:r>
      <w:r>
        <w:rPr>
          <w:rFonts w:hint="eastAsia"/>
        </w:rPr>
        <w:t>万户，歌</w:t>
      </w:r>
      <w:proofErr w:type="gramStart"/>
      <w:r>
        <w:rPr>
          <w:rFonts w:hint="eastAsia"/>
        </w:rPr>
        <w:t>华飞视用户</w:t>
      </w:r>
      <w:proofErr w:type="gramEnd"/>
      <w:r>
        <w:rPr>
          <w:rFonts w:hint="eastAsia"/>
        </w:rPr>
        <w:t>近</w:t>
      </w:r>
      <w:r>
        <w:t>20</w:t>
      </w:r>
      <w:r>
        <w:rPr>
          <w:rFonts w:hint="eastAsia"/>
        </w:rPr>
        <w:t>万户。</w:t>
      </w:r>
    </w:p>
    <w:p w:rsidR="00367BED" w:rsidRDefault="00367BED" w:rsidP="00367BED">
      <w:pPr>
        <w:spacing w:line="288" w:lineRule="auto"/>
        <w:jc w:val="left"/>
        <w:outlineLvl w:val="1"/>
        <w:divId w:val="852186394"/>
        <w:rPr>
          <w:b/>
          <w:bCs/>
          <w:szCs w:val="18"/>
        </w:rPr>
      </w:pPr>
    </w:p>
    <w:p w:rsidR="00367BED" w:rsidRDefault="00367BED" w:rsidP="00367BED">
      <w:pPr>
        <w:spacing w:line="288" w:lineRule="auto"/>
        <w:jc w:val="left"/>
        <w:outlineLvl w:val="2"/>
        <w:divId w:val="852186394"/>
        <w:rPr>
          <w:b/>
          <w:bCs/>
        </w:rPr>
      </w:pPr>
      <w:r>
        <w:rPr>
          <w:rFonts w:cs="宋体" w:hint="eastAsia"/>
          <w:b/>
          <w:bCs/>
        </w:rPr>
        <w:t>(</w:t>
      </w:r>
      <w:proofErr w:type="gramStart"/>
      <w:r>
        <w:rPr>
          <w:rFonts w:cs="宋体" w:hint="eastAsia"/>
          <w:b/>
          <w:bCs/>
        </w:rPr>
        <w:t>一</w:t>
      </w:r>
      <w:proofErr w:type="gramEnd"/>
      <w:r>
        <w:rPr>
          <w:rFonts w:cs="宋体" w:hint="eastAsia"/>
          <w:b/>
          <w:bCs/>
        </w:rPr>
        <w:t>)</w:t>
      </w:r>
      <w:r>
        <w:rPr>
          <w:rFonts w:hint="eastAsia"/>
          <w:b/>
          <w:bCs/>
        </w:rPr>
        <w:t>主营业务分析</w:t>
      </w:r>
    </w:p>
    <w:p w:rsidR="00367BED" w:rsidRDefault="00367BED" w:rsidP="00367BED">
      <w:pPr>
        <w:numPr>
          <w:ilvl w:val="3"/>
          <w:numId w:val="1"/>
        </w:numPr>
        <w:spacing w:line="288" w:lineRule="auto"/>
        <w:jc w:val="left"/>
        <w:outlineLvl w:val="3"/>
        <w:divId w:val="852186394"/>
        <w:rPr>
          <w:b/>
          <w:bCs/>
        </w:rPr>
      </w:pPr>
      <w:r>
        <w:rPr>
          <w:rFonts w:hint="eastAsia"/>
          <w:b/>
          <w:bCs/>
        </w:rPr>
        <w:t>财务报表相关科目变动分析表</w:t>
      </w:r>
    </w:p>
    <w:p w:rsidR="00367BED" w:rsidRDefault="00367BED" w:rsidP="00367BED">
      <w:pPr>
        <w:jc w:val="right"/>
        <w:divId w:val="852186394"/>
      </w:pPr>
      <w:r>
        <w:rPr>
          <w:rFonts w:hint="eastAsia"/>
        </w:rPr>
        <w:lastRenderedPageBreak/>
        <w:t>单位：元</w:t>
      </w:r>
      <w:r>
        <w:t xml:space="preserve"> </w:t>
      </w:r>
      <w:r>
        <w:rPr>
          <w:rFonts w:hint="eastAsia"/>
        </w:rPr>
        <w:t>币种</w:t>
      </w:r>
      <w:r>
        <w:t>:</w:t>
      </w:r>
      <w:r>
        <w:rPr>
          <w:rFonts w:hint="eastAsia"/>
        </w:rPr>
        <w:t>人民币</w:t>
      </w:r>
    </w:p>
    <w:tbl>
      <w:tblPr>
        <w:tblW w:w="9750" w:type="dxa"/>
        <w:tblInd w:w="63" w:type="dxa"/>
        <w:tblBorders>
          <w:top w:val="single" w:sz="4" w:space="0" w:color="auto"/>
          <w:left w:val="single" w:sz="4" w:space="0" w:color="auto"/>
          <w:bottom w:val="single" w:sz="4" w:space="0" w:color="auto"/>
          <w:right w:val="single" w:sz="4" w:space="0" w:color="auto"/>
        </w:tblBorders>
        <w:tblLook w:val="04A0"/>
      </w:tblPr>
      <w:tblGrid>
        <w:gridCol w:w="3887"/>
        <w:gridCol w:w="1987"/>
        <w:gridCol w:w="1938"/>
        <w:gridCol w:w="1938"/>
      </w:tblGrid>
      <w:tr w:rsidR="00367BED" w:rsidTr="00367BED">
        <w:trPr>
          <w:divId w:val="852186394"/>
        </w:trPr>
        <w:tc>
          <w:tcPr>
            <w:tcW w:w="1993"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科目</w:t>
            </w:r>
          </w:p>
        </w:tc>
        <w:tc>
          <w:tcPr>
            <w:tcW w:w="1019"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本期数</w:t>
            </w:r>
          </w:p>
        </w:tc>
        <w:tc>
          <w:tcPr>
            <w:tcW w:w="994"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上年同期数</w:t>
            </w:r>
          </w:p>
        </w:tc>
        <w:tc>
          <w:tcPr>
            <w:tcW w:w="994"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变动比例（</w:t>
            </w:r>
            <w:r>
              <w:rPr>
                <w:rFonts w:hAnsi="宋体" w:cs="宋体"/>
                <w:szCs w:val="21"/>
              </w:rPr>
              <w:t>%</w:t>
            </w:r>
            <w:r>
              <w:rPr>
                <w:rFonts w:hAnsi="宋体" w:cs="宋体" w:hint="eastAsia"/>
                <w:szCs w:val="21"/>
              </w:rPr>
              <w:t>）</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1,026,675,198.77</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960,906,497.76</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6.84</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营业成本</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950,761,565.87</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940,312,617.68</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1.11</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销售费用</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45,067,117.45</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43,766,072.71</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2.97</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管理费用</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49,015,603.17</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36,832,591.59</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33.08</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财务费用</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-6,294,874.61</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-15,826,146.35</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60.22</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383,249,774.19</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293,155,940.76</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30.73</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投资活动产生的现金流量净额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-340,930,249.68</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-433,844,770.09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21.42</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筹资活动产生的现金流量净额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126,680.86</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-39,827,697.90</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100.32</w:t>
            </w:r>
          </w:p>
        </w:tc>
      </w:tr>
      <w:tr w:rsidR="00367BED" w:rsidTr="00367BED">
        <w:trPr>
          <w:divId w:val="852186394"/>
        </w:trPr>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rPr>
                <w:rFonts w:ascii="宋体" w:hAnsi="宋体" w:cs="宋体"/>
                <w:szCs w:val="21"/>
              </w:rPr>
            </w:pPr>
            <w:r>
              <w:rPr>
                <w:rFonts w:hAnsi="宋体" w:cs="宋体" w:hint="eastAsia"/>
                <w:szCs w:val="21"/>
              </w:rPr>
              <w:t>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13,952,476.31</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2,165,208.75</w:t>
            </w:r>
          </w:p>
        </w:tc>
        <w:tc>
          <w:tcPr>
            <w:tcW w:w="0" w:type="auto"/>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544.39</w:t>
            </w:r>
          </w:p>
        </w:tc>
      </w:tr>
      <w:tr w:rsidR="00367BED" w:rsidTr="00367BED">
        <w:trPr>
          <w:divId w:val="852186394"/>
        </w:trPr>
        <w:tc>
          <w:tcPr>
            <w:tcW w:w="0" w:type="auto"/>
            <w:gridSpan w:val="4"/>
            <w:tcBorders>
              <w:top w:val="nil"/>
              <w:left w:val="nil"/>
              <w:bottom w:val="nil"/>
              <w:right w:val="nil"/>
            </w:tcBorders>
            <w:tcMar>
              <w:top w:w="15" w:type="dxa"/>
              <w:left w:w="15" w:type="dxa"/>
              <w:bottom w:w="15" w:type="dxa"/>
              <w:right w:w="15" w:type="dxa"/>
            </w:tcMar>
            <w:vAlign w:val="center"/>
            <w:hideMark/>
          </w:tcPr>
          <w:p w:rsidR="00367BED" w:rsidRDefault="00367BED">
            <w:pPr>
              <w:widowControl/>
              <w:jc w:val="left"/>
              <w:rPr>
                <w:kern w:val="0"/>
                <w:sz w:val="20"/>
                <w:szCs w:val="20"/>
              </w:rPr>
            </w:pPr>
          </w:p>
        </w:tc>
      </w:tr>
    </w:tbl>
    <w:p w:rsidR="00367BED" w:rsidRDefault="00367BED" w:rsidP="00367BED">
      <w:pPr>
        <w:ind w:firstLine="420"/>
        <w:divId w:val="852186394"/>
        <w:rPr>
          <w:rFonts w:ascii="宋体" w:hAnsi="宋体"/>
        </w:rPr>
      </w:pPr>
      <w:r>
        <w:rPr>
          <w:rFonts w:ascii="宋体" w:hAnsi="宋体" w:hint="eastAsia"/>
        </w:rPr>
        <w:t>管理费用变动原因说明：主要原因是本公司</w:t>
      </w:r>
      <w:proofErr w:type="gramStart"/>
      <w:r>
        <w:rPr>
          <w:rFonts w:ascii="宋体" w:hAnsi="宋体" w:hint="eastAsia"/>
        </w:rPr>
        <w:t>本期加大</w:t>
      </w:r>
      <w:proofErr w:type="gramEnd"/>
      <w:r>
        <w:rPr>
          <w:rFonts w:ascii="宋体" w:hAnsi="宋体" w:hint="eastAsia"/>
        </w:rPr>
        <w:t>了研发投入。</w:t>
      </w:r>
    </w:p>
    <w:p w:rsidR="00367BED" w:rsidRDefault="00367BED" w:rsidP="00367BED">
      <w:pPr>
        <w:ind w:firstLine="420"/>
        <w:divId w:val="852186394"/>
        <w:rPr>
          <w:rFonts w:ascii="宋体" w:hAnsi="宋体"/>
        </w:rPr>
      </w:pPr>
      <w:r>
        <w:rPr>
          <w:rFonts w:ascii="宋体" w:hAnsi="宋体" w:hint="eastAsia"/>
        </w:rPr>
        <w:t>财务费用变动原因说明：主要是本期可转换公司债</w:t>
      </w:r>
      <w:proofErr w:type="gramStart"/>
      <w:r>
        <w:rPr>
          <w:rFonts w:ascii="宋体" w:hAnsi="宋体" w:hint="eastAsia"/>
        </w:rPr>
        <w:t>券</w:t>
      </w:r>
      <w:proofErr w:type="gramEnd"/>
      <w:r>
        <w:rPr>
          <w:rFonts w:ascii="宋体" w:hAnsi="宋体" w:hint="eastAsia"/>
        </w:rPr>
        <w:t>利息资本化率降低，导致费用化的利息支出相应增加所致。</w:t>
      </w:r>
    </w:p>
    <w:p w:rsidR="00367BED" w:rsidRDefault="00367BED" w:rsidP="00367BED">
      <w:pPr>
        <w:ind w:firstLine="420"/>
        <w:divId w:val="852186394"/>
        <w:rPr>
          <w:rFonts w:ascii="宋体" w:hAnsi="宋体"/>
        </w:rPr>
      </w:pPr>
      <w:r>
        <w:rPr>
          <w:rFonts w:ascii="宋体" w:hAnsi="宋体" w:hint="eastAsia"/>
        </w:rPr>
        <w:t>经营活动产生的现金流量净额变动原因说明：主要原因是本期公司提供劳务收到的现金有所增加，同时购买商品、接受劳务支付的现金有所减少。</w:t>
      </w:r>
    </w:p>
    <w:p w:rsidR="00367BED" w:rsidRDefault="00367BED" w:rsidP="00367BED">
      <w:pPr>
        <w:ind w:firstLine="420"/>
        <w:divId w:val="852186394"/>
        <w:rPr>
          <w:rFonts w:ascii="宋体" w:hAnsi="宋体"/>
        </w:rPr>
      </w:pPr>
      <w:r>
        <w:rPr>
          <w:rFonts w:ascii="宋体" w:hAnsi="宋体" w:hint="eastAsia"/>
        </w:rPr>
        <w:t>筹资活动产生的现金流量净额变动原因说明：主要原因是上年同期分配了现金股利。</w:t>
      </w:r>
    </w:p>
    <w:p w:rsidR="00367BED" w:rsidRDefault="00367BED" w:rsidP="00367BED">
      <w:pPr>
        <w:ind w:firstLine="420"/>
        <w:divId w:val="852186394"/>
        <w:rPr>
          <w:rFonts w:ascii="宋体" w:hAnsi="宋体"/>
        </w:rPr>
      </w:pPr>
      <w:r>
        <w:rPr>
          <w:rFonts w:ascii="宋体" w:hAnsi="宋体" w:hint="eastAsia"/>
        </w:rPr>
        <w:t>研发支出变动原因说明：主要原因是本公司</w:t>
      </w:r>
      <w:proofErr w:type="gramStart"/>
      <w:r>
        <w:rPr>
          <w:rFonts w:ascii="宋体" w:hAnsi="宋体" w:hint="eastAsia"/>
        </w:rPr>
        <w:t>本期加大</w:t>
      </w:r>
      <w:proofErr w:type="gramEnd"/>
      <w:r>
        <w:rPr>
          <w:rFonts w:ascii="宋体" w:hAnsi="宋体" w:hint="eastAsia"/>
        </w:rPr>
        <w:t>了研发投入。</w:t>
      </w:r>
    </w:p>
    <w:p w:rsidR="00367BED" w:rsidRDefault="00367BED" w:rsidP="00367BED">
      <w:pPr>
        <w:spacing w:line="288" w:lineRule="auto"/>
        <w:jc w:val="left"/>
        <w:outlineLvl w:val="3"/>
        <w:divId w:val="852186394"/>
        <w:rPr>
          <w:b/>
          <w:bCs/>
          <w:szCs w:val="18"/>
        </w:rPr>
      </w:pPr>
    </w:p>
    <w:p w:rsidR="00367BED" w:rsidRDefault="00367BED" w:rsidP="00367BED">
      <w:pPr>
        <w:numPr>
          <w:ilvl w:val="3"/>
          <w:numId w:val="1"/>
        </w:numPr>
        <w:spacing w:line="288" w:lineRule="auto"/>
        <w:jc w:val="left"/>
        <w:outlineLvl w:val="3"/>
        <w:divId w:val="852186394"/>
        <w:rPr>
          <w:b/>
          <w:bCs/>
          <w:szCs w:val="18"/>
        </w:rPr>
      </w:pPr>
      <w:r>
        <w:rPr>
          <w:rFonts w:hint="eastAsia"/>
          <w:b/>
          <w:bCs/>
        </w:rPr>
        <w:t>其它</w:t>
      </w:r>
    </w:p>
    <w:p w:rsidR="00367BED" w:rsidRDefault="00367BED" w:rsidP="00367BED">
      <w:pPr>
        <w:numPr>
          <w:ilvl w:val="4"/>
          <w:numId w:val="1"/>
        </w:numPr>
        <w:spacing w:line="288" w:lineRule="auto"/>
        <w:jc w:val="left"/>
        <w:outlineLvl w:val="4"/>
        <w:divId w:val="852186394"/>
        <w:rPr>
          <w:b/>
          <w:bCs/>
        </w:rPr>
      </w:pPr>
      <w:r>
        <w:rPr>
          <w:rFonts w:hint="eastAsia"/>
          <w:b/>
          <w:bCs/>
        </w:rPr>
        <w:t>公司利润构成或利润来源发生重大变动的详细说明</w:t>
      </w:r>
    </w:p>
    <w:p w:rsidR="00367BED" w:rsidRDefault="00367BED" w:rsidP="0084621E">
      <w:pPr>
        <w:widowControl/>
        <w:spacing w:beforeLines="50" w:afterLines="90"/>
        <w:divId w:val="852186394"/>
        <w:rPr>
          <w:rFonts w:ascii="宋体" w:hAnsi="宋体"/>
          <w:szCs w:val="21"/>
        </w:rPr>
      </w:pPr>
      <w:r>
        <w:rPr>
          <w:rFonts w:ascii="宋体" w:hAnsi="宋体" w:hint="eastAsia"/>
          <w:szCs w:val="21"/>
        </w:rPr>
        <w:t>2013年1-6月公司实现归属于母公司所有者的净利润15,426万元，较上年同期增加2,897万元，增幅23.12%。主要原因是本期营业收入实现了稳步增长，同比增幅6.84%，同时本期成本费用增幅有所放缓，同比增幅1.11%。近来公司在不断加强内部管理，节约各项成本费用支出的同时，不断挖掘用户增长潜力，不断尝试开展新的增值业务，保持了公司平稳、有序、健康发展。</w:t>
      </w:r>
    </w:p>
    <w:p w:rsidR="00367BED" w:rsidRDefault="00367BED" w:rsidP="00367BED">
      <w:pPr>
        <w:pStyle w:val="a7"/>
        <w:widowControl/>
        <w:ind w:firstLineChars="0" w:firstLine="0"/>
        <w:divId w:val="852186394"/>
        <w:rPr>
          <w:rFonts w:hAnsi="宋体" w:cs="宋体"/>
          <w:szCs w:val="21"/>
        </w:rPr>
      </w:pPr>
      <w:r>
        <w:rPr>
          <w:rFonts w:ascii="宋体" w:hAnsi="宋体" w:hint="eastAsia"/>
          <w:szCs w:val="21"/>
        </w:rPr>
        <w:t>利润构成发生重大变动详情请参见财务会计报告中会计报表附注十二、3</w:t>
      </w:r>
      <w:r>
        <w:rPr>
          <w:rFonts w:hAnsi="宋体" w:cs="宋体" w:hint="eastAsia"/>
          <w:szCs w:val="21"/>
        </w:rPr>
        <w:t>。</w:t>
      </w:r>
    </w:p>
    <w:p w:rsidR="00367BED" w:rsidRDefault="00367BED" w:rsidP="00367BED">
      <w:pPr>
        <w:pStyle w:val="a7"/>
        <w:widowControl/>
        <w:ind w:firstLineChars="0" w:firstLine="0"/>
        <w:divId w:val="852186394"/>
        <w:rPr>
          <w:rFonts w:hAnsi="宋体" w:cs="宋体"/>
          <w:szCs w:val="21"/>
        </w:rPr>
      </w:pPr>
    </w:p>
    <w:p w:rsidR="00367BED" w:rsidRDefault="00367BED" w:rsidP="00367BED">
      <w:pPr>
        <w:numPr>
          <w:ilvl w:val="4"/>
          <w:numId w:val="1"/>
        </w:numPr>
        <w:spacing w:line="288" w:lineRule="auto"/>
        <w:jc w:val="left"/>
        <w:outlineLvl w:val="4"/>
        <w:divId w:val="852186394"/>
        <w:rPr>
          <w:b/>
          <w:bCs/>
          <w:szCs w:val="18"/>
        </w:rPr>
      </w:pPr>
      <w:r>
        <w:rPr>
          <w:rFonts w:hint="eastAsia"/>
          <w:b/>
          <w:bCs/>
        </w:rPr>
        <w:t>公司前期各类融资、重大资产重组事项实施进度分析说明</w:t>
      </w:r>
    </w:p>
    <w:p w:rsidR="00367BED" w:rsidRDefault="00367BED" w:rsidP="00367BED">
      <w:pPr>
        <w:ind w:firstLine="420"/>
        <w:divId w:val="852186394"/>
      </w:pPr>
      <w:r>
        <w:rPr>
          <w:rFonts w:hint="eastAsia"/>
        </w:rPr>
        <w:t>公司</w:t>
      </w:r>
      <w:r>
        <w:t>2010</w:t>
      </w:r>
      <w:r>
        <w:rPr>
          <w:rFonts w:hint="eastAsia"/>
        </w:rPr>
        <w:t>年发行的</w:t>
      </w:r>
      <w:r>
        <w:t>16</w:t>
      </w:r>
      <w:r>
        <w:rPr>
          <w:rFonts w:hint="eastAsia"/>
        </w:rPr>
        <w:t>亿元可转换公司债</w:t>
      </w:r>
      <w:proofErr w:type="gramStart"/>
      <w:r>
        <w:rPr>
          <w:rFonts w:hint="eastAsia"/>
        </w:rPr>
        <w:t>券</w:t>
      </w:r>
      <w:proofErr w:type="gramEnd"/>
      <w:r>
        <w:rPr>
          <w:rFonts w:hint="eastAsia"/>
        </w:rPr>
        <w:t>，截至报告期末，累计投入</w:t>
      </w:r>
      <w:r>
        <w:t>90,580.40</w:t>
      </w:r>
      <w:r>
        <w:rPr>
          <w:rFonts w:hint="eastAsia"/>
        </w:rPr>
        <w:t>万元，投入进度为</w:t>
      </w:r>
      <w:r>
        <w:t>56.61%</w:t>
      </w:r>
      <w:r>
        <w:rPr>
          <w:rFonts w:hint="eastAsia"/>
        </w:rPr>
        <w:t>。未达到计划进度的原因为：</w:t>
      </w:r>
      <w:r>
        <w:t xml:space="preserve"> </w:t>
      </w:r>
    </w:p>
    <w:p w:rsidR="00367BED" w:rsidRDefault="00367BED" w:rsidP="00367BED">
      <w:pPr>
        <w:ind w:firstLine="420"/>
        <w:divId w:val="852186394"/>
      </w:pPr>
      <w:r>
        <w:rPr>
          <w:rFonts w:ascii="宋体" w:hAnsi="宋体" w:hint="eastAsia"/>
        </w:rPr>
        <w:t>①</w:t>
      </w:r>
      <w:r>
        <w:rPr>
          <w:rFonts w:hint="eastAsia"/>
        </w:rPr>
        <w:t>在市政规划方面，首都北京的老旧城区改造、拆建规模较大，对双向网络规划及改造进度造成影响；</w:t>
      </w:r>
    </w:p>
    <w:p w:rsidR="00367BED" w:rsidRDefault="00367BED" w:rsidP="00367BED">
      <w:pPr>
        <w:ind w:firstLine="420"/>
        <w:divId w:val="852186394"/>
      </w:pPr>
      <w:r>
        <w:rPr>
          <w:rFonts w:ascii="宋体" w:hAnsi="宋体" w:hint="eastAsia"/>
        </w:rPr>
        <w:t>②</w:t>
      </w:r>
      <w:r>
        <w:rPr>
          <w:rFonts w:hint="eastAsia"/>
        </w:rPr>
        <w:t>在光缆入地方面，市政规划对管道路由、架空线入地也有特殊区位要求，受到管道建设单位建设及交付使用的影响，因此光缆入地整体进度受到影响；</w:t>
      </w:r>
    </w:p>
    <w:p w:rsidR="00367BED" w:rsidRDefault="00367BED" w:rsidP="00367BED">
      <w:pPr>
        <w:ind w:firstLine="420"/>
        <w:divId w:val="852186394"/>
      </w:pPr>
      <w:r>
        <w:rPr>
          <w:rFonts w:ascii="宋体" w:hAnsi="宋体" w:hint="eastAsia"/>
        </w:rPr>
        <w:t>③</w:t>
      </w:r>
      <w:r>
        <w:rPr>
          <w:rFonts w:hint="eastAsia"/>
        </w:rPr>
        <w:t>在机房寻址方面，因受地理位置、路由资源、电力支撑及物业价格等因素影响，新建及扩容机房的寻址难度增大、周期延长；</w:t>
      </w:r>
    </w:p>
    <w:p w:rsidR="00367BED" w:rsidRDefault="00367BED" w:rsidP="00367BED">
      <w:pPr>
        <w:ind w:firstLine="420"/>
        <w:divId w:val="852186394"/>
      </w:pPr>
      <w:r>
        <w:rPr>
          <w:rFonts w:ascii="宋体" w:hAnsi="宋体" w:hint="eastAsia"/>
        </w:rPr>
        <w:t>④</w:t>
      </w:r>
      <w:r>
        <w:rPr>
          <w:rFonts w:hint="eastAsia"/>
        </w:rPr>
        <w:t>公司对所有</w:t>
      </w:r>
      <w:proofErr w:type="gramStart"/>
      <w:r>
        <w:rPr>
          <w:rFonts w:hint="eastAsia"/>
        </w:rPr>
        <w:t>募投项目</w:t>
      </w:r>
      <w:proofErr w:type="gramEnd"/>
      <w:r>
        <w:rPr>
          <w:rFonts w:hint="eastAsia"/>
        </w:rPr>
        <w:t>的工程投入实施了严格的招投标管理，采购周期相应延长。</w:t>
      </w:r>
    </w:p>
    <w:p w:rsidR="00367BED" w:rsidRDefault="00367BED" w:rsidP="00367BED">
      <w:pPr>
        <w:ind w:firstLine="420"/>
        <w:divId w:val="852186394"/>
      </w:pPr>
    </w:p>
    <w:p w:rsidR="00367BED" w:rsidRDefault="00367BED" w:rsidP="00367BED">
      <w:pPr>
        <w:ind w:firstLine="420"/>
        <w:divId w:val="852186394"/>
      </w:pPr>
      <w:r>
        <w:rPr>
          <w:rFonts w:hint="eastAsia"/>
        </w:rPr>
        <w:t>公司已针对上述原因积极研究对策，采取相关措施保障</w:t>
      </w:r>
      <w:proofErr w:type="gramStart"/>
      <w:r>
        <w:rPr>
          <w:rFonts w:hint="eastAsia"/>
        </w:rPr>
        <w:t>募投项目</w:t>
      </w:r>
      <w:proofErr w:type="gramEnd"/>
      <w:r>
        <w:rPr>
          <w:rFonts w:hint="eastAsia"/>
        </w:rPr>
        <w:t>的建设实施。</w:t>
      </w:r>
    </w:p>
    <w:p w:rsidR="00367BED" w:rsidRDefault="00367BED" w:rsidP="00367BED">
      <w:pPr>
        <w:ind w:firstLine="420"/>
        <w:divId w:val="852186394"/>
      </w:pPr>
    </w:p>
    <w:p w:rsidR="00367BED" w:rsidRDefault="00367BED" w:rsidP="00367BED">
      <w:pPr>
        <w:numPr>
          <w:ilvl w:val="4"/>
          <w:numId w:val="1"/>
        </w:numPr>
        <w:spacing w:line="288" w:lineRule="auto"/>
        <w:jc w:val="left"/>
        <w:outlineLvl w:val="4"/>
        <w:divId w:val="852186394"/>
        <w:rPr>
          <w:b/>
          <w:bCs/>
          <w:szCs w:val="18"/>
        </w:rPr>
      </w:pPr>
      <w:r>
        <w:rPr>
          <w:rFonts w:hint="eastAsia"/>
          <w:b/>
          <w:bCs/>
        </w:rPr>
        <w:lastRenderedPageBreak/>
        <w:t>经营计划进展说明</w:t>
      </w:r>
    </w:p>
    <w:p w:rsidR="00367BED" w:rsidRDefault="00367BED" w:rsidP="00367BED">
      <w:pPr>
        <w:ind w:firstLine="420"/>
        <w:divId w:val="852186394"/>
      </w:pPr>
      <w:r>
        <w:rPr>
          <w:rFonts w:ascii="宋体" w:hAnsi="宋体" w:hint="eastAsia"/>
        </w:rPr>
        <w:t>①</w:t>
      </w:r>
      <w:r>
        <w:rPr>
          <w:rFonts w:hint="eastAsia"/>
        </w:rPr>
        <w:t>高清</w:t>
      </w:r>
      <w:proofErr w:type="gramStart"/>
      <w:r>
        <w:rPr>
          <w:rFonts w:hint="eastAsia"/>
        </w:rPr>
        <w:t>交互新</w:t>
      </w:r>
      <w:proofErr w:type="gramEnd"/>
      <w:r>
        <w:rPr>
          <w:rFonts w:hint="eastAsia"/>
        </w:rPr>
        <w:t>媒体发展情况</w:t>
      </w:r>
    </w:p>
    <w:p w:rsidR="00367BED" w:rsidRDefault="00367BED" w:rsidP="00367BED">
      <w:pPr>
        <w:ind w:firstLine="420"/>
        <w:divId w:val="852186394"/>
      </w:pPr>
      <w:r>
        <w:rPr>
          <w:rFonts w:hint="eastAsia"/>
        </w:rPr>
        <w:t>公司坚持“创新驱动、开放合作、面向市场、贴近用户”的原则，努力把高清交互数字电视锻造成公司应对三网融合的核心竞争力。公司强化“政府、家庭、行业”服务职能，全力打造集政府信息平台、文化共享平台、便民服务平台、用户娱乐平台于一体，全面满足政务需求、行业应用展示需求和用户精神文化及信息生活需求的高清交互数字电视新媒体旗舰。公司现有高清交互数字电视平台收转</w:t>
      </w:r>
      <w:r>
        <w:t>170</w:t>
      </w:r>
      <w:r>
        <w:rPr>
          <w:rFonts w:hint="eastAsia"/>
        </w:rPr>
        <w:t>套电视节目（包括</w:t>
      </w:r>
      <w:r>
        <w:t>22</w:t>
      </w:r>
      <w:r>
        <w:rPr>
          <w:rFonts w:hint="eastAsia"/>
        </w:rPr>
        <w:t>套高清节目）和</w:t>
      </w:r>
      <w:r>
        <w:t>16</w:t>
      </w:r>
      <w:r>
        <w:rPr>
          <w:rFonts w:hint="eastAsia"/>
        </w:rPr>
        <w:t>套数字广播节目。</w:t>
      </w:r>
    </w:p>
    <w:p w:rsidR="00367BED" w:rsidRDefault="00367BED" w:rsidP="00A0140A">
      <w:pPr>
        <w:ind w:firstLineChars="200" w:firstLine="420"/>
        <w:divId w:val="852186394"/>
      </w:pPr>
      <w:r>
        <w:rPr>
          <w:rFonts w:hint="eastAsia"/>
        </w:rPr>
        <w:t>报告期内，公司进一步梳理高清交互平台应用，积极优化现有广告产品，策划开发电视回看新贴</w:t>
      </w:r>
      <w:proofErr w:type="gramStart"/>
      <w:r>
        <w:rPr>
          <w:rFonts w:hint="eastAsia"/>
        </w:rPr>
        <w:t>片资源</w:t>
      </w:r>
      <w:proofErr w:type="gramEnd"/>
      <w:r>
        <w:rPr>
          <w:rFonts w:hint="eastAsia"/>
        </w:rPr>
        <w:t>等新产品，做好广告代理服务工作；新增中央电视台</w:t>
      </w:r>
      <w:r>
        <w:t>3</w:t>
      </w:r>
      <w:r>
        <w:rPr>
          <w:rFonts w:hint="eastAsia"/>
        </w:rPr>
        <w:t>、</w:t>
      </w:r>
      <w:r>
        <w:t>5</w:t>
      </w:r>
      <w:r>
        <w:rPr>
          <w:rFonts w:hint="eastAsia"/>
        </w:rPr>
        <w:t>、</w:t>
      </w:r>
      <w:r>
        <w:t>6</w:t>
      </w:r>
      <w:r>
        <w:rPr>
          <w:rFonts w:hint="eastAsia"/>
        </w:rPr>
        <w:t>、</w:t>
      </w:r>
      <w:r>
        <w:t>8</w:t>
      </w:r>
      <w:r>
        <w:rPr>
          <w:rFonts w:hint="eastAsia"/>
        </w:rPr>
        <w:t>等高清频道，高</w:t>
      </w:r>
      <w:proofErr w:type="gramStart"/>
      <w:r>
        <w:rPr>
          <w:rFonts w:hint="eastAsia"/>
        </w:rPr>
        <w:t>清数字</w:t>
      </w:r>
      <w:proofErr w:type="gramEnd"/>
      <w:r>
        <w:rPr>
          <w:rFonts w:hint="eastAsia"/>
        </w:rPr>
        <w:t>电视节目累计达到</w:t>
      </w:r>
      <w:r>
        <w:t>22</w:t>
      </w:r>
      <w:r>
        <w:rPr>
          <w:rFonts w:hint="eastAsia"/>
        </w:rPr>
        <w:t>套，“时移回看”达到</w:t>
      </w:r>
      <w:r>
        <w:t>59</w:t>
      </w:r>
      <w:r>
        <w:rPr>
          <w:rFonts w:hint="eastAsia"/>
        </w:rPr>
        <w:t>套，在线视频节目近</w:t>
      </w:r>
      <w:r>
        <w:t>3</w:t>
      </w:r>
      <w:r>
        <w:rPr>
          <w:rFonts w:hint="eastAsia"/>
        </w:rPr>
        <w:t>万小时（其中高</w:t>
      </w:r>
      <w:proofErr w:type="gramStart"/>
      <w:r>
        <w:rPr>
          <w:rFonts w:hint="eastAsia"/>
        </w:rPr>
        <w:t>清节目</w:t>
      </w:r>
      <w:proofErr w:type="gramEnd"/>
      <w:r>
        <w:t>8000</w:t>
      </w:r>
      <w:r>
        <w:rPr>
          <w:rFonts w:hint="eastAsia"/>
        </w:rPr>
        <w:t>小时）；规范应用栏目设置标准，调整应用板块结构，新增图书博物馆栏目，实现书籍、报纸、杂志等内容的语音阅读服务；推进重点项目开发上线，依托高清交互用户，推进大样本收视数据研究中心的建设，开发收视数据产品，完成收视数据分析，提升平台的市场价值和社会影响力。</w:t>
      </w:r>
    </w:p>
    <w:p w:rsidR="00367BED" w:rsidRDefault="00367BED" w:rsidP="00367BED">
      <w:pPr>
        <w:divId w:val="852186394"/>
        <w:rPr>
          <w:rFonts w:ascii="宋体" w:hAnsi="宋体"/>
        </w:rPr>
      </w:pPr>
    </w:p>
    <w:p w:rsidR="00367BED" w:rsidRDefault="00367BED" w:rsidP="00367BED">
      <w:pPr>
        <w:ind w:firstLineChars="200" w:firstLine="420"/>
        <w:divId w:val="852186394"/>
      </w:pPr>
      <w:r>
        <w:rPr>
          <w:rFonts w:ascii="宋体" w:hAnsi="宋体" w:hint="eastAsia"/>
        </w:rPr>
        <w:t>②</w:t>
      </w:r>
      <w:r>
        <w:rPr>
          <w:rFonts w:hint="eastAsia"/>
        </w:rPr>
        <w:t>三网融合相关业务发展情况</w:t>
      </w:r>
    </w:p>
    <w:p w:rsidR="00367BED" w:rsidRDefault="00367BED" w:rsidP="00367BED">
      <w:pPr>
        <w:ind w:firstLineChars="200" w:firstLine="420"/>
        <w:divId w:val="852186394"/>
      </w:pPr>
      <w:r>
        <w:rPr>
          <w:rFonts w:hint="eastAsia"/>
        </w:rPr>
        <w:t>公司根据市场变化和业务拓展需要，开拓创新，强化管理，不断挖掘用户增长潜力，尝试开展新的增值业务，规模效益随着高清交互用户的增长逐步显现。</w:t>
      </w:r>
    </w:p>
    <w:p w:rsidR="00367BED" w:rsidRDefault="00367BED" w:rsidP="00367BED">
      <w:pPr>
        <w:ind w:firstLineChars="200" w:firstLine="420"/>
        <w:divId w:val="852186394"/>
      </w:pPr>
      <w:r>
        <w:t>A</w:t>
      </w:r>
      <w:r>
        <w:rPr>
          <w:rFonts w:hint="eastAsia"/>
        </w:rPr>
        <w:t>、个人宽带业务</w:t>
      </w:r>
    </w:p>
    <w:p w:rsidR="00367BED" w:rsidRDefault="00367BED" w:rsidP="00367BED">
      <w:pPr>
        <w:ind w:firstLineChars="200" w:firstLine="420"/>
        <w:divId w:val="852186394"/>
      </w:pPr>
      <w:r>
        <w:rPr>
          <w:rFonts w:hint="eastAsia"/>
        </w:rPr>
        <w:t>在电信宽带不断提速、市场竞争日趋激烈的情况下，公司采取措施全力拓展个人宽带业务，扩大市场份额，提高渗透率。上半年，平稳、顺利完成宽带升级工作；加强对外合作，</w:t>
      </w:r>
      <w:proofErr w:type="gramStart"/>
      <w:r>
        <w:rPr>
          <w:rFonts w:hint="eastAsia"/>
        </w:rPr>
        <w:t>丰富内网</w:t>
      </w:r>
      <w:proofErr w:type="gramEnd"/>
      <w:r>
        <w:rPr>
          <w:rFonts w:hint="eastAsia"/>
        </w:rPr>
        <w:t>资源，通过对等互联、缓存、镜像等降低出口成本；开展优惠促销和组合营销，推进个人宽带与歌华飞视、高清付</w:t>
      </w:r>
      <w:proofErr w:type="gramStart"/>
      <w:r>
        <w:rPr>
          <w:rFonts w:hint="eastAsia"/>
        </w:rPr>
        <w:t>费节目包</w:t>
      </w:r>
      <w:proofErr w:type="gramEnd"/>
      <w:r>
        <w:rPr>
          <w:rFonts w:hint="eastAsia"/>
        </w:rPr>
        <w:t>的捆绑销售工作，实现个人用户的平稳增长。截至报告期末，公司个人宽带用户已达</w:t>
      </w:r>
      <w:r>
        <w:t>20.6</w:t>
      </w:r>
      <w:r>
        <w:rPr>
          <w:rFonts w:hint="eastAsia"/>
        </w:rPr>
        <w:t>万户。</w:t>
      </w:r>
    </w:p>
    <w:p w:rsidR="00367BED" w:rsidRDefault="00367BED" w:rsidP="00367BED">
      <w:pPr>
        <w:ind w:firstLineChars="200" w:firstLine="420"/>
        <w:divId w:val="852186394"/>
      </w:pPr>
      <w:r>
        <w:t>B</w:t>
      </w:r>
      <w:r>
        <w:rPr>
          <w:rFonts w:hint="eastAsia"/>
        </w:rPr>
        <w:t>、集团数据业务</w:t>
      </w:r>
    </w:p>
    <w:p w:rsidR="00367BED" w:rsidRDefault="00367BED" w:rsidP="00367BED">
      <w:pPr>
        <w:ind w:firstLineChars="200" w:firstLine="420"/>
        <w:divId w:val="852186394"/>
      </w:pPr>
      <w:r>
        <w:rPr>
          <w:rFonts w:hint="eastAsia"/>
        </w:rPr>
        <w:t>公司依托有线网络打造首都重要的信息化支撑平台。截至报告期末，公司集团数据业务已超过</w:t>
      </w:r>
      <w:r>
        <w:t>2.5</w:t>
      </w:r>
      <w:r>
        <w:rPr>
          <w:rFonts w:hint="eastAsia"/>
        </w:rPr>
        <w:t>万线，其中上半年累计开通专线</w:t>
      </w:r>
      <w:r>
        <w:t>680</w:t>
      </w:r>
      <w:r>
        <w:rPr>
          <w:rFonts w:hint="eastAsia"/>
        </w:rPr>
        <w:t>余条，发展</w:t>
      </w:r>
      <w:r>
        <w:t>30</w:t>
      </w:r>
      <w:r>
        <w:rPr>
          <w:rFonts w:hint="eastAsia"/>
        </w:rPr>
        <w:t>余个集团互联网客户，音视频业务累计超过</w:t>
      </w:r>
      <w:r>
        <w:t>3000</w:t>
      </w:r>
      <w:r>
        <w:rPr>
          <w:rFonts w:hint="eastAsia"/>
        </w:rPr>
        <w:t>线。</w:t>
      </w:r>
      <w:r>
        <w:t>IDC</w:t>
      </w:r>
      <w:r>
        <w:rPr>
          <w:rFonts w:hint="eastAsia"/>
        </w:rPr>
        <w:t>业务也取得相应的进展。</w:t>
      </w:r>
      <w:r>
        <w:t xml:space="preserve"> </w:t>
      </w:r>
    </w:p>
    <w:p w:rsidR="00367BED" w:rsidRDefault="00367BED" w:rsidP="00367BED">
      <w:pPr>
        <w:ind w:firstLineChars="200" w:firstLine="420"/>
        <w:divId w:val="852186394"/>
      </w:pPr>
      <w:r>
        <w:t>C</w:t>
      </w:r>
      <w:r>
        <w:rPr>
          <w:rFonts w:hint="eastAsia"/>
        </w:rPr>
        <w:t>、歌</w:t>
      </w:r>
      <w:proofErr w:type="gramStart"/>
      <w:r>
        <w:rPr>
          <w:rFonts w:hint="eastAsia"/>
        </w:rPr>
        <w:t>华飞视业务</w:t>
      </w:r>
      <w:proofErr w:type="gramEnd"/>
    </w:p>
    <w:p w:rsidR="00367BED" w:rsidRDefault="00367BED" w:rsidP="00367BED">
      <w:pPr>
        <w:ind w:firstLineChars="200" w:firstLine="420"/>
        <w:divId w:val="852186394"/>
      </w:pPr>
      <w:r>
        <w:rPr>
          <w:rFonts w:hint="eastAsia"/>
        </w:rPr>
        <w:t>公司全力推进歌</w:t>
      </w:r>
      <w:proofErr w:type="gramStart"/>
      <w:r>
        <w:rPr>
          <w:rFonts w:hint="eastAsia"/>
        </w:rPr>
        <w:t>华飞视业务</w:t>
      </w:r>
      <w:proofErr w:type="gramEnd"/>
      <w:r>
        <w:rPr>
          <w:rFonts w:hint="eastAsia"/>
        </w:rPr>
        <w:t>，截至报告期末，已累计发展用户近</w:t>
      </w:r>
      <w:r>
        <w:t>20</w:t>
      </w:r>
      <w:r>
        <w:rPr>
          <w:rFonts w:hint="eastAsia"/>
        </w:rPr>
        <w:t>万户。公司积极推进歌</w:t>
      </w:r>
      <w:proofErr w:type="gramStart"/>
      <w:r>
        <w:rPr>
          <w:rFonts w:hint="eastAsia"/>
        </w:rPr>
        <w:t>华飞视品牌</w:t>
      </w:r>
      <w:proofErr w:type="gramEnd"/>
      <w:r>
        <w:rPr>
          <w:rFonts w:hint="eastAsia"/>
        </w:rPr>
        <w:t>下</w:t>
      </w:r>
      <w:proofErr w:type="gramStart"/>
      <w:r>
        <w:rPr>
          <w:rFonts w:hint="eastAsia"/>
        </w:rPr>
        <w:t>新跨屏</w:t>
      </w:r>
      <w:proofErr w:type="gramEnd"/>
      <w:r>
        <w:rPr>
          <w:rFonts w:hint="eastAsia"/>
        </w:rPr>
        <w:t>（</w:t>
      </w:r>
      <w:proofErr w:type="gramStart"/>
      <w:r>
        <w:rPr>
          <w:rFonts w:hint="eastAsia"/>
        </w:rPr>
        <w:t>小屏到大屏</w:t>
      </w:r>
      <w:proofErr w:type="gramEnd"/>
      <w:r>
        <w:rPr>
          <w:rFonts w:hint="eastAsia"/>
        </w:rPr>
        <w:t>）业务的技术系统搭建和技术实验，制定了</w:t>
      </w:r>
      <w:proofErr w:type="gramStart"/>
      <w:r>
        <w:rPr>
          <w:rFonts w:hint="eastAsia"/>
        </w:rPr>
        <w:t>飞视跨屏服务</w:t>
      </w:r>
      <w:proofErr w:type="gramEnd"/>
      <w:r>
        <w:rPr>
          <w:rFonts w:hint="eastAsia"/>
        </w:rPr>
        <w:t>的产品推广方案，目前已进入与高清交互机顶盒的联调测试阶段。</w:t>
      </w:r>
    </w:p>
    <w:p w:rsidR="00367BED" w:rsidRDefault="00367BED" w:rsidP="00367BED">
      <w:pPr>
        <w:ind w:firstLineChars="200" w:firstLine="420"/>
        <w:divId w:val="852186394"/>
      </w:pPr>
      <w:r>
        <w:t>D</w:t>
      </w:r>
      <w:r>
        <w:rPr>
          <w:rFonts w:hint="eastAsia"/>
        </w:rPr>
        <w:t>、智能语音系统开发建设</w:t>
      </w:r>
    </w:p>
    <w:p w:rsidR="00367BED" w:rsidRDefault="00367BED" w:rsidP="00367BED">
      <w:pPr>
        <w:ind w:firstLineChars="200" w:firstLine="420"/>
        <w:divId w:val="852186394"/>
      </w:pPr>
      <w:r>
        <w:rPr>
          <w:rFonts w:hint="eastAsia"/>
        </w:rPr>
        <w:t>公司与安徽科大讯飞信息科技股份有限公司签署战略合作协议，积极推进数字电视智能语音系统的开发建设，提升用户体验。</w:t>
      </w:r>
    </w:p>
    <w:p w:rsidR="00367BED" w:rsidRDefault="00367BED" w:rsidP="00367BED">
      <w:pPr>
        <w:divId w:val="852186394"/>
        <w:rPr>
          <w:rFonts w:ascii="宋体" w:hAnsi="宋体"/>
        </w:rPr>
      </w:pPr>
    </w:p>
    <w:p w:rsidR="00367BED" w:rsidRDefault="00367BED" w:rsidP="00367BED">
      <w:pPr>
        <w:ind w:firstLineChars="200" w:firstLine="420"/>
        <w:divId w:val="852186394"/>
      </w:pPr>
      <w:r>
        <w:rPr>
          <w:rFonts w:ascii="宋体" w:hAnsi="宋体" w:hint="eastAsia"/>
        </w:rPr>
        <w:t>③</w:t>
      </w:r>
      <w:r>
        <w:rPr>
          <w:rFonts w:hint="eastAsia"/>
        </w:rPr>
        <w:t>用户服务工作情况</w:t>
      </w:r>
      <w:r>
        <w:t xml:space="preserve"> </w:t>
      </w:r>
    </w:p>
    <w:p w:rsidR="00367BED" w:rsidRDefault="00367BED" w:rsidP="00367BED">
      <w:pPr>
        <w:ind w:firstLineChars="200" w:firstLine="420"/>
        <w:divId w:val="852186394"/>
      </w:pPr>
      <w:r>
        <w:rPr>
          <w:rFonts w:hint="eastAsia"/>
        </w:rPr>
        <w:t>在公司开展的服务质量建设年活动基础上，进一步加强服务软硬件建设，完善服务管理体系。公司倡导标准化、专业化、人性化的服务，完善服务营销体系，规范服务业务流程，加强电子渠道服务质量建设，开通“歌华有线</w:t>
      </w:r>
      <w:r>
        <w:t>96196</w:t>
      </w:r>
      <w:r>
        <w:rPr>
          <w:rFonts w:hint="eastAsia"/>
        </w:rPr>
        <w:t>”新</w:t>
      </w:r>
      <w:proofErr w:type="gramStart"/>
      <w:r>
        <w:rPr>
          <w:rFonts w:hint="eastAsia"/>
        </w:rPr>
        <w:t>浪微博</w:t>
      </w:r>
      <w:proofErr w:type="gramEnd"/>
      <w:r>
        <w:rPr>
          <w:rFonts w:hint="eastAsia"/>
        </w:rPr>
        <w:t>等，通过新媒体平台进行服务信息发布和用户咨询投诉受理，及时妥善回应用户诉求，打造全方位、立体式客户服务新模式和新平台，赢得用户口碑和市场认可。</w:t>
      </w:r>
    </w:p>
    <w:p w:rsidR="00367BED" w:rsidRDefault="00367BED" w:rsidP="00367BED">
      <w:pPr>
        <w:divId w:val="852186394"/>
      </w:pPr>
    </w:p>
    <w:p w:rsidR="00367BED" w:rsidRDefault="00367BED" w:rsidP="00367BED">
      <w:pPr>
        <w:ind w:firstLineChars="200" w:firstLine="420"/>
        <w:divId w:val="852186394"/>
      </w:pPr>
      <w:r>
        <w:rPr>
          <w:rFonts w:ascii="宋体" w:hAnsi="宋体" w:hint="eastAsia"/>
        </w:rPr>
        <w:lastRenderedPageBreak/>
        <w:t>④</w:t>
      </w:r>
      <w:r>
        <w:rPr>
          <w:rFonts w:hint="eastAsia"/>
        </w:rPr>
        <w:t>投融资工作情况</w:t>
      </w:r>
    </w:p>
    <w:p w:rsidR="00367BED" w:rsidRDefault="00367BED" w:rsidP="00367BED">
      <w:pPr>
        <w:ind w:firstLineChars="200" w:firstLine="420"/>
        <w:divId w:val="852186394"/>
      </w:pPr>
      <w:r>
        <w:rPr>
          <w:rFonts w:hint="eastAsia"/>
        </w:rPr>
        <w:t>报告期内，公司以</w:t>
      </w:r>
      <w:r>
        <w:t>1.4</w:t>
      </w:r>
      <w:r>
        <w:rPr>
          <w:rFonts w:hint="eastAsia"/>
        </w:rPr>
        <w:t>亿元的价格受让贵州省广播电视信息网络股份有限公司（贵州省网）</w:t>
      </w:r>
      <w:r>
        <w:t>4.8%</w:t>
      </w:r>
      <w:r>
        <w:rPr>
          <w:rFonts w:hint="eastAsia"/>
        </w:rPr>
        <w:t>的股权。参股贵州省网是公司有线电视网络业务跨地域发展的重要举措，有利于公司“一网两平台”战略的实施推进，有利于双方业务跨省合作和资源共享，有利于公司拓展市场，在日趋激烈的市场竞争环境中赢取先机。</w:t>
      </w:r>
    </w:p>
    <w:p w:rsidR="00367BED" w:rsidRDefault="00367BED" w:rsidP="00367BED">
      <w:pPr>
        <w:widowControl/>
        <w:divId w:val="852186394"/>
        <w:rPr>
          <w:rFonts w:hAnsi="宋体" w:cs="宋体"/>
          <w:szCs w:val="21"/>
        </w:rPr>
      </w:pPr>
    </w:p>
    <w:p w:rsidR="00367BED" w:rsidRDefault="00367BED" w:rsidP="00367BED">
      <w:pPr>
        <w:numPr>
          <w:ilvl w:val="2"/>
          <w:numId w:val="1"/>
        </w:numPr>
        <w:spacing w:line="288" w:lineRule="auto"/>
        <w:jc w:val="left"/>
        <w:outlineLvl w:val="2"/>
        <w:divId w:val="852186394"/>
        <w:rPr>
          <w:b/>
          <w:bCs/>
          <w:szCs w:val="18"/>
        </w:rPr>
      </w:pPr>
      <w:r>
        <w:rPr>
          <w:rFonts w:hint="eastAsia"/>
          <w:b/>
          <w:bCs/>
        </w:rPr>
        <w:t>行业、产品或地区经营情况分析</w:t>
      </w:r>
    </w:p>
    <w:p w:rsidR="00367BED" w:rsidRDefault="00367BED" w:rsidP="00367BED">
      <w:pPr>
        <w:numPr>
          <w:ilvl w:val="3"/>
          <w:numId w:val="1"/>
        </w:numPr>
        <w:spacing w:line="288" w:lineRule="auto"/>
        <w:jc w:val="left"/>
        <w:outlineLvl w:val="3"/>
        <w:divId w:val="852186394"/>
        <w:rPr>
          <w:b/>
          <w:bCs/>
        </w:rPr>
      </w:pPr>
      <w:r>
        <w:rPr>
          <w:rFonts w:hint="eastAsia"/>
          <w:b/>
          <w:bCs/>
        </w:rPr>
        <w:t>主营业务分行业、分产品情况</w:t>
      </w:r>
    </w:p>
    <w:p w:rsidR="00367BED" w:rsidRDefault="00367BED" w:rsidP="00367BED">
      <w:pPr>
        <w:jc w:val="right"/>
        <w:divId w:val="852186394"/>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143"/>
        <w:gridCol w:w="1896"/>
        <w:gridCol w:w="1686"/>
        <w:gridCol w:w="1143"/>
        <w:gridCol w:w="1144"/>
        <w:gridCol w:w="1144"/>
        <w:gridCol w:w="1144"/>
      </w:tblGrid>
      <w:tr w:rsidR="00367BED" w:rsidTr="00367BED">
        <w:trPr>
          <w:divId w:val="852186394"/>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主营业务分行业情况</w:t>
            </w:r>
          </w:p>
        </w:tc>
      </w:tr>
      <w:tr w:rsidR="00367BED" w:rsidTr="00367BED">
        <w:trPr>
          <w:divId w:val="852186394"/>
        </w:trPr>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分行业</w:t>
            </w:r>
          </w:p>
        </w:tc>
        <w:tc>
          <w:tcPr>
            <w:tcW w:w="782"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营业收入</w:t>
            </w:r>
          </w:p>
        </w:tc>
        <w:tc>
          <w:tcPr>
            <w:tcW w:w="833"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营业成本</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毛利率（％）</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营业收入比上年增减</w:t>
            </w:r>
            <w:r>
              <w:rPr>
                <w:rFonts w:hAnsi="宋体" w:cs="宋体"/>
                <w:szCs w:val="21"/>
              </w:rPr>
              <w:t>(%)</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营业成本比上年增减</w:t>
            </w:r>
            <w:r>
              <w:rPr>
                <w:rFonts w:hAnsi="宋体" w:cs="宋体"/>
                <w:szCs w:val="21"/>
              </w:rPr>
              <w:t>(%)</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毛利率比上年增减（</w:t>
            </w:r>
            <w:r>
              <w:rPr>
                <w:rFonts w:hAnsi="宋体" w:cs="宋体"/>
                <w:szCs w:val="21"/>
              </w:rPr>
              <w:t>%</w:t>
            </w:r>
            <w:r>
              <w:rPr>
                <w:rFonts w:hAnsi="宋体" w:cs="宋体" w:hint="eastAsia"/>
                <w:szCs w:val="21"/>
              </w:rPr>
              <w:t>）</w:t>
            </w:r>
          </w:p>
        </w:tc>
      </w:tr>
      <w:tr w:rsidR="00367BED" w:rsidTr="00367BED">
        <w:trPr>
          <w:divId w:val="852186394"/>
        </w:trPr>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left"/>
              <w:rPr>
                <w:rFonts w:ascii="宋体" w:hAnsi="宋体" w:cs="宋体"/>
                <w:szCs w:val="21"/>
              </w:rPr>
            </w:pPr>
            <w:r>
              <w:rPr>
                <w:rFonts w:ascii="宋体" w:hAnsi="宋体" w:hint="eastAsia"/>
                <w:szCs w:val="21"/>
              </w:rPr>
              <w:t>网络运营服务</w:t>
            </w:r>
          </w:p>
        </w:tc>
        <w:tc>
          <w:tcPr>
            <w:tcW w:w="782"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color w:val="000000"/>
                <w:szCs w:val="21"/>
              </w:rPr>
            </w:pPr>
            <w:r>
              <w:rPr>
                <w:rFonts w:ascii="宋体" w:hAnsi="宋体" w:hint="eastAsia"/>
                <w:color w:val="000000"/>
                <w:szCs w:val="21"/>
              </w:rPr>
              <w:t>1,017,638,818.45</w:t>
            </w:r>
          </w:p>
        </w:tc>
        <w:tc>
          <w:tcPr>
            <w:tcW w:w="833"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color w:val="000000"/>
                <w:szCs w:val="21"/>
              </w:rPr>
            </w:pPr>
            <w:r>
              <w:rPr>
                <w:rFonts w:ascii="宋体" w:hAnsi="宋体" w:hint="eastAsia"/>
                <w:color w:val="000000"/>
                <w:szCs w:val="21"/>
              </w:rPr>
              <w:t>946,620,663.95</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 xml:space="preserve">6.98 </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 xml:space="preserve">6.85 </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 xml:space="preserve">1.33 </w:t>
            </w:r>
          </w:p>
        </w:tc>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right"/>
              <w:rPr>
                <w:rFonts w:ascii="宋体" w:hAnsi="宋体" w:cs="宋体"/>
                <w:szCs w:val="21"/>
              </w:rPr>
            </w:pPr>
            <w:r>
              <w:rPr>
                <w:rFonts w:ascii="宋体" w:hAnsi="宋体" w:hint="eastAsia"/>
                <w:szCs w:val="21"/>
              </w:rPr>
              <w:t xml:space="preserve">5.06 </w:t>
            </w:r>
          </w:p>
        </w:tc>
      </w:tr>
      <w:tr w:rsidR="00367BED" w:rsidTr="00367BED">
        <w:trPr>
          <w:divId w:val="852186394"/>
        </w:trPr>
        <w:tc>
          <w:tcPr>
            <w:tcW w:w="677"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left"/>
              <w:rPr>
                <w:rFonts w:ascii="宋体" w:hAnsi="宋体" w:cs="宋体"/>
                <w:szCs w:val="21"/>
              </w:rPr>
            </w:pPr>
            <w:r>
              <w:rPr>
                <w:rFonts w:ascii="宋体" w:hAnsi="宋体" w:hint="eastAsia"/>
                <w:szCs w:val="21"/>
              </w:rPr>
              <w:t>器材销售</w:t>
            </w:r>
          </w:p>
        </w:tc>
        <w:tc>
          <w:tcPr>
            <w:tcW w:w="782"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color w:val="000000"/>
                <w:szCs w:val="21"/>
              </w:rPr>
            </w:pPr>
            <w:r>
              <w:rPr>
                <w:rFonts w:ascii="宋体" w:hAnsi="宋体" w:hint="eastAsia"/>
                <w:color w:val="000000"/>
                <w:szCs w:val="21"/>
              </w:rPr>
              <w:t>9,036,380.32</w:t>
            </w:r>
          </w:p>
        </w:tc>
        <w:tc>
          <w:tcPr>
            <w:tcW w:w="833"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color w:val="000000"/>
                <w:szCs w:val="21"/>
              </w:rPr>
            </w:pPr>
            <w:r>
              <w:rPr>
                <w:rFonts w:ascii="宋体" w:hAnsi="宋体" w:hint="eastAsia"/>
                <w:color w:val="000000"/>
                <w:szCs w:val="21"/>
              </w:rPr>
              <w:t>4,140,901.92</w:t>
            </w:r>
          </w:p>
        </w:tc>
        <w:tc>
          <w:tcPr>
            <w:tcW w:w="677"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 xml:space="preserve">54.18 </w:t>
            </w:r>
          </w:p>
        </w:tc>
        <w:tc>
          <w:tcPr>
            <w:tcW w:w="677"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 xml:space="preserve">6.46 </w:t>
            </w:r>
          </w:p>
        </w:tc>
        <w:tc>
          <w:tcPr>
            <w:tcW w:w="677"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 xml:space="preserve">-32.75 </w:t>
            </w:r>
          </w:p>
        </w:tc>
        <w:tc>
          <w:tcPr>
            <w:tcW w:w="677"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 xml:space="preserve">26.72 </w:t>
            </w:r>
          </w:p>
        </w:tc>
      </w:tr>
    </w:tbl>
    <w:p w:rsidR="00367BED" w:rsidRDefault="00367BED" w:rsidP="00367BED">
      <w:pPr>
        <w:widowControl/>
        <w:divId w:val="852186394"/>
        <w:rPr>
          <w:rFonts w:hAnsi="宋体" w:cs="宋体"/>
          <w:vanish/>
          <w:szCs w:val="21"/>
        </w:rPr>
      </w:pPr>
    </w:p>
    <w:p w:rsidR="00367BED" w:rsidRDefault="00367BED" w:rsidP="00367BED">
      <w:pPr>
        <w:widowControl/>
        <w:divId w:val="852186394"/>
        <w:rPr>
          <w:rFonts w:hAnsi="宋体" w:cs="宋体"/>
          <w:szCs w:val="21"/>
        </w:rPr>
      </w:pPr>
    </w:p>
    <w:p w:rsidR="00367BED" w:rsidRDefault="00367BED" w:rsidP="00367BED">
      <w:pPr>
        <w:numPr>
          <w:ilvl w:val="3"/>
          <w:numId w:val="1"/>
        </w:numPr>
        <w:spacing w:line="288" w:lineRule="auto"/>
        <w:jc w:val="left"/>
        <w:outlineLvl w:val="3"/>
        <w:divId w:val="852186394"/>
        <w:rPr>
          <w:b/>
          <w:bCs/>
          <w:szCs w:val="18"/>
        </w:rPr>
      </w:pPr>
      <w:r>
        <w:rPr>
          <w:rFonts w:hint="eastAsia"/>
          <w:b/>
          <w:bCs/>
        </w:rPr>
        <w:t>主营业务分地区情况</w:t>
      </w:r>
    </w:p>
    <w:p w:rsidR="00367BED" w:rsidRDefault="00367BED" w:rsidP="00367BED">
      <w:pPr>
        <w:jc w:val="right"/>
        <w:divId w:val="852186394"/>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442"/>
        <w:gridCol w:w="3006"/>
        <w:gridCol w:w="3852"/>
      </w:tblGrid>
      <w:tr w:rsidR="00367BED" w:rsidTr="00367BED">
        <w:trPr>
          <w:divId w:val="852186394"/>
        </w:trPr>
        <w:tc>
          <w:tcPr>
            <w:tcW w:w="1313"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地区</w:t>
            </w:r>
          </w:p>
        </w:tc>
        <w:tc>
          <w:tcPr>
            <w:tcW w:w="1616"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营业收入</w:t>
            </w:r>
          </w:p>
        </w:tc>
        <w:tc>
          <w:tcPr>
            <w:tcW w:w="2071" w:type="pct"/>
            <w:tcBorders>
              <w:top w:val="outset" w:sz="6" w:space="0" w:color="auto"/>
              <w:left w:val="outset" w:sz="6" w:space="0" w:color="auto"/>
              <w:bottom w:val="outset" w:sz="6" w:space="0" w:color="auto"/>
              <w:right w:val="outset" w:sz="6" w:space="0" w:color="auto"/>
            </w:tcBorders>
            <w:vAlign w:val="center"/>
            <w:hideMark/>
          </w:tcPr>
          <w:p w:rsidR="00367BED" w:rsidRDefault="00367BED">
            <w:pPr>
              <w:widowControl/>
              <w:jc w:val="center"/>
              <w:rPr>
                <w:rFonts w:ascii="宋体" w:hAnsi="宋体" w:cs="宋体"/>
                <w:szCs w:val="21"/>
              </w:rPr>
            </w:pPr>
            <w:r>
              <w:rPr>
                <w:rFonts w:hAnsi="宋体" w:cs="宋体" w:hint="eastAsia"/>
                <w:szCs w:val="21"/>
              </w:rPr>
              <w:t>营业收入比上年增减（％）</w:t>
            </w:r>
          </w:p>
        </w:tc>
      </w:tr>
      <w:tr w:rsidR="00367BED" w:rsidTr="00367BED">
        <w:trPr>
          <w:divId w:val="852186394"/>
        </w:trPr>
        <w:tc>
          <w:tcPr>
            <w:tcW w:w="1313"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center"/>
              <w:rPr>
                <w:rFonts w:ascii="宋体" w:hAnsi="宋体" w:cs="宋体"/>
                <w:szCs w:val="21"/>
              </w:rPr>
            </w:pPr>
            <w:r>
              <w:rPr>
                <w:rFonts w:ascii="宋体" w:hAnsi="宋体" w:hint="eastAsia"/>
                <w:szCs w:val="21"/>
              </w:rPr>
              <w:t>北京</w:t>
            </w:r>
          </w:p>
        </w:tc>
        <w:tc>
          <w:tcPr>
            <w:tcW w:w="1616"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1,017,625,186.77</w:t>
            </w:r>
          </w:p>
        </w:tc>
        <w:tc>
          <w:tcPr>
            <w:tcW w:w="2071"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6.76</w:t>
            </w:r>
          </w:p>
        </w:tc>
      </w:tr>
      <w:tr w:rsidR="00367BED" w:rsidTr="00367BED">
        <w:trPr>
          <w:divId w:val="852186394"/>
        </w:trPr>
        <w:tc>
          <w:tcPr>
            <w:tcW w:w="1313" w:type="pct"/>
            <w:tcBorders>
              <w:top w:val="outset" w:sz="6" w:space="0" w:color="auto"/>
              <w:left w:val="outset" w:sz="6" w:space="0" w:color="auto"/>
              <w:bottom w:val="outset" w:sz="6" w:space="0" w:color="auto"/>
              <w:right w:val="outset" w:sz="6" w:space="0" w:color="auto"/>
            </w:tcBorders>
            <w:vAlign w:val="center"/>
            <w:hideMark/>
          </w:tcPr>
          <w:p w:rsidR="00367BED" w:rsidRDefault="00367BED">
            <w:pPr>
              <w:jc w:val="center"/>
              <w:rPr>
                <w:rFonts w:ascii="宋体" w:hAnsi="宋体" w:cs="宋体"/>
                <w:szCs w:val="21"/>
              </w:rPr>
            </w:pPr>
            <w:r>
              <w:rPr>
                <w:rFonts w:ascii="宋体" w:hAnsi="宋体" w:hint="eastAsia"/>
                <w:szCs w:val="21"/>
              </w:rPr>
              <w:t>涿州</w:t>
            </w:r>
          </w:p>
        </w:tc>
        <w:tc>
          <w:tcPr>
            <w:tcW w:w="1616"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9,050,012.00</w:t>
            </w:r>
          </w:p>
        </w:tc>
        <w:tc>
          <w:tcPr>
            <w:tcW w:w="2071" w:type="pct"/>
            <w:tcBorders>
              <w:top w:val="outset" w:sz="6" w:space="0" w:color="auto"/>
              <w:left w:val="outset" w:sz="6" w:space="0" w:color="auto"/>
              <w:bottom w:val="outset" w:sz="6" w:space="0" w:color="auto"/>
              <w:right w:val="outset" w:sz="6" w:space="0" w:color="auto"/>
            </w:tcBorders>
            <w:vAlign w:val="bottom"/>
            <w:hideMark/>
          </w:tcPr>
          <w:p w:rsidR="00367BED" w:rsidRDefault="00367BED">
            <w:pPr>
              <w:jc w:val="right"/>
              <w:rPr>
                <w:rFonts w:ascii="宋体" w:hAnsi="宋体" w:cs="宋体"/>
                <w:szCs w:val="21"/>
              </w:rPr>
            </w:pPr>
            <w:r>
              <w:rPr>
                <w:rFonts w:ascii="宋体" w:hAnsi="宋体" w:hint="eastAsia"/>
                <w:szCs w:val="21"/>
              </w:rPr>
              <w:t>16.72</w:t>
            </w:r>
          </w:p>
        </w:tc>
      </w:tr>
    </w:tbl>
    <w:p w:rsidR="00367BED" w:rsidRDefault="00367BED" w:rsidP="00367BED">
      <w:pPr>
        <w:widowControl/>
        <w:divId w:val="852186394"/>
        <w:rPr>
          <w:rFonts w:hAnsi="宋体" w:cs="宋体"/>
          <w:szCs w:val="21"/>
        </w:rPr>
      </w:pPr>
    </w:p>
    <w:p w:rsidR="00367BED" w:rsidRDefault="00367BED" w:rsidP="00367BED">
      <w:pPr>
        <w:numPr>
          <w:ilvl w:val="2"/>
          <w:numId w:val="1"/>
        </w:numPr>
        <w:spacing w:line="288" w:lineRule="auto"/>
        <w:jc w:val="left"/>
        <w:outlineLvl w:val="2"/>
        <w:divId w:val="852186394"/>
        <w:rPr>
          <w:b/>
          <w:bCs/>
          <w:szCs w:val="18"/>
        </w:rPr>
      </w:pPr>
      <w:r>
        <w:rPr>
          <w:rFonts w:hint="eastAsia"/>
          <w:b/>
          <w:bCs/>
        </w:rPr>
        <w:t>核心竞争力分析</w:t>
      </w:r>
    </w:p>
    <w:p w:rsidR="00367BED" w:rsidRDefault="00367BED" w:rsidP="00367BED">
      <w:pPr>
        <w:ind w:firstLineChars="100" w:firstLine="210"/>
        <w:divId w:val="852186394"/>
      </w:pPr>
      <w:r>
        <w:rPr>
          <w:rFonts w:hint="eastAsia"/>
        </w:rPr>
        <w:t>公司核心竞争力未发生重大变化。</w:t>
      </w:r>
    </w:p>
    <w:p w:rsidR="00367BED" w:rsidRDefault="00367BED" w:rsidP="00367BED">
      <w:pPr>
        <w:widowControl/>
        <w:divId w:val="852186394"/>
        <w:rPr>
          <w:rFonts w:hAnsi="宋体" w:cs="宋体"/>
          <w:szCs w:val="21"/>
        </w:rPr>
      </w:pPr>
    </w:p>
    <w:p w:rsidR="00367BED" w:rsidRDefault="00367BED" w:rsidP="00367BED">
      <w:pPr>
        <w:numPr>
          <w:ilvl w:val="2"/>
          <w:numId w:val="1"/>
        </w:numPr>
        <w:spacing w:line="288" w:lineRule="auto"/>
        <w:jc w:val="left"/>
        <w:outlineLvl w:val="2"/>
        <w:divId w:val="852186394"/>
        <w:rPr>
          <w:b/>
          <w:bCs/>
          <w:szCs w:val="18"/>
        </w:rPr>
      </w:pPr>
      <w:r>
        <w:rPr>
          <w:rFonts w:hint="eastAsia"/>
          <w:b/>
          <w:bCs/>
        </w:rPr>
        <w:t>投资状况分析</w:t>
      </w:r>
    </w:p>
    <w:p w:rsidR="00367BED" w:rsidRDefault="00367BED" w:rsidP="00367BED">
      <w:pPr>
        <w:numPr>
          <w:ilvl w:val="3"/>
          <w:numId w:val="1"/>
        </w:numPr>
        <w:spacing w:line="288" w:lineRule="auto"/>
        <w:jc w:val="left"/>
        <w:outlineLvl w:val="3"/>
        <w:divId w:val="852186394"/>
        <w:rPr>
          <w:b/>
          <w:bCs/>
        </w:rPr>
      </w:pPr>
      <w:r>
        <w:rPr>
          <w:rFonts w:hint="eastAsia"/>
          <w:b/>
          <w:bCs/>
        </w:rPr>
        <w:t>对外股权投资总体分析</w:t>
      </w:r>
    </w:p>
    <w:p w:rsidR="00367BED" w:rsidRDefault="00367BED" w:rsidP="00367BED">
      <w:pPr>
        <w:ind w:firstLineChars="200" w:firstLine="420"/>
        <w:divId w:val="852186394"/>
        <w:rPr>
          <w:rFonts w:hAnsi="宋体" w:cs="宋体"/>
          <w:szCs w:val="21"/>
        </w:rPr>
      </w:pPr>
      <w:r>
        <w:rPr>
          <w:rFonts w:hint="eastAsia"/>
        </w:rPr>
        <w:t>公司报告期内对外投资金额与上年同比增加</w:t>
      </w:r>
      <w:r>
        <w:t>139,871,498.00</w:t>
      </w:r>
      <w:r>
        <w:rPr>
          <w:rFonts w:hint="eastAsia"/>
        </w:rPr>
        <w:t>元，增长了</w:t>
      </w:r>
      <w:r>
        <w:t>100%</w:t>
      </w:r>
      <w:r>
        <w:rPr>
          <w:rFonts w:hint="eastAsia"/>
        </w:rPr>
        <w:t>，主要系公司完成了对贵州省广播电视信息网络股份有限公司的股权投资，投资总金额为</w:t>
      </w:r>
      <w:r>
        <w:t>139,871,498.00</w:t>
      </w:r>
      <w:r>
        <w:rPr>
          <w:rFonts w:hint="eastAsia"/>
        </w:rPr>
        <w:t>元，占被投资单位持股比例为</w:t>
      </w:r>
      <w:r>
        <w:t>4.8%</w:t>
      </w:r>
      <w:r>
        <w:rPr>
          <w:rFonts w:hint="eastAsia"/>
        </w:rPr>
        <w:t>，</w:t>
      </w:r>
      <w:r>
        <w:rPr>
          <w:rFonts w:hAnsi="宋体" w:cs="宋体" w:hint="eastAsia"/>
          <w:szCs w:val="21"/>
        </w:rPr>
        <w:t>具体内容详见公司于</w:t>
      </w:r>
      <w:r>
        <w:rPr>
          <w:rFonts w:hAnsi="宋体" w:cs="宋体"/>
          <w:szCs w:val="21"/>
        </w:rPr>
        <w:t>2013</w:t>
      </w:r>
      <w:r>
        <w:rPr>
          <w:rFonts w:hAnsi="宋体" w:cs="宋体" w:hint="eastAsia"/>
          <w:szCs w:val="21"/>
        </w:rPr>
        <w:t>年</w:t>
      </w:r>
      <w:r>
        <w:rPr>
          <w:rFonts w:hAnsi="宋体" w:cs="宋体"/>
          <w:szCs w:val="21"/>
        </w:rPr>
        <w:t>4</w:t>
      </w:r>
      <w:r>
        <w:rPr>
          <w:rFonts w:hAnsi="宋体" w:cs="宋体" w:hint="eastAsia"/>
          <w:szCs w:val="21"/>
        </w:rPr>
        <w:t>月</w:t>
      </w:r>
      <w:r>
        <w:rPr>
          <w:rFonts w:hAnsi="宋体" w:cs="宋体"/>
          <w:szCs w:val="21"/>
        </w:rPr>
        <w:t>9</w:t>
      </w:r>
      <w:r>
        <w:rPr>
          <w:rFonts w:hAnsi="宋体" w:cs="宋体" w:hint="eastAsia"/>
          <w:szCs w:val="21"/>
        </w:rPr>
        <w:t>日刊登在《中国证券报》、《上海证券报》和上海证券交易所网站的对外投资公告。</w:t>
      </w:r>
    </w:p>
    <w:p w:rsidR="00367BED" w:rsidRDefault="00367BED" w:rsidP="00367BED">
      <w:pPr>
        <w:ind w:firstLineChars="200" w:firstLine="420"/>
        <w:divId w:val="852186394"/>
      </w:pPr>
    </w:p>
    <w:p w:rsidR="00367BED" w:rsidRDefault="00367BED" w:rsidP="00367BED">
      <w:pPr>
        <w:ind w:firstLineChars="200" w:firstLine="420"/>
        <w:divId w:val="852186394"/>
      </w:pPr>
      <w:r>
        <w:rPr>
          <w:rFonts w:hint="eastAsia"/>
        </w:rPr>
        <w:t>贵州省广播电视信息网络股份有限公司的主要业务为：对全省广播电视网络进行建设、开发、运营和管理；开展模拟广播、电视、数字广播电视节目与信息传输业务；开展广播电视及信息网络设备器材的代理、经销；广告设计、制作、代理、发布及营销策划；从事</w:t>
      </w:r>
      <w:r>
        <w:t>GPS</w:t>
      </w:r>
      <w:r>
        <w:rPr>
          <w:rFonts w:hint="eastAsia"/>
        </w:rPr>
        <w:t>卫星定位系统、数字化联网报警监控系统、智能安防系统工程的设计、施工、维修及运营服务；计算机网络和语言信息网络的设计、施工、维修、运营及广播电视网络信息服务及增值电信业务。（以上经营范围涉及许可的，以许可证许可范围为准）</w:t>
      </w:r>
    </w:p>
    <w:p w:rsidR="00367BED" w:rsidRDefault="00367BED" w:rsidP="00367BED">
      <w:pPr>
        <w:ind w:firstLineChars="200" w:firstLine="420"/>
        <w:divId w:val="852186394"/>
      </w:pPr>
    </w:p>
    <w:p w:rsidR="00367BED" w:rsidRDefault="00367BED" w:rsidP="00367BED">
      <w:pPr>
        <w:numPr>
          <w:ilvl w:val="3"/>
          <w:numId w:val="1"/>
        </w:numPr>
        <w:spacing w:line="288" w:lineRule="auto"/>
        <w:jc w:val="left"/>
        <w:outlineLvl w:val="3"/>
        <w:divId w:val="852186394"/>
        <w:rPr>
          <w:b/>
          <w:bCs/>
          <w:szCs w:val="18"/>
        </w:rPr>
      </w:pPr>
      <w:r>
        <w:rPr>
          <w:rFonts w:hint="eastAsia"/>
          <w:b/>
          <w:bCs/>
        </w:rPr>
        <w:t>非金融类公司委托理财及衍生</w:t>
      </w:r>
      <w:proofErr w:type="gramStart"/>
      <w:r>
        <w:rPr>
          <w:rFonts w:hint="eastAsia"/>
          <w:b/>
          <w:bCs/>
        </w:rPr>
        <w:t>品投资</w:t>
      </w:r>
      <w:proofErr w:type="gramEnd"/>
      <w:r>
        <w:rPr>
          <w:rFonts w:hint="eastAsia"/>
          <w:b/>
          <w:bCs/>
        </w:rPr>
        <w:t>的情况</w:t>
      </w:r>
    </w:p>
    <w:p w:rsidR="00367BED" w:rsidRDefault="00367BED" w:rsidP="00367BED">
      <w:pPr>
        <w:numPr>
          <w:ilvl w:val="4"/>
          <w:numId w:val="1"/>
        </w:numPr>
        <w:spacing w:line="288" w:lineRule="auto"/>
        <w:jc w:val="left"/>
        <w:outlineLvl w:val="4"/>
        <w:divId w:val="852186394"/>
        <w:rPr>
          <w:b/>
          <w:bCs/>
        </w:rPr>
      </w:pPr>
      <w:r>
        <w:rPr>
          <w:rFonts w:hint="eastAsia"/>
          <w:b/>
          <w:bCs/>
        </w:rPr>
        <w:t>委托理财情况</w:t>
      </w:r>
    </w:p>
    <w:p w:rsidR="00367BED" w:rsidRDefault="00367BED" w:rsidP="00367BED">
      <w:pPr>
        <w:divId w:val="852186394"/>
      </w:pPr>
      <w:r>
        <w:lastRenderedPageBreak/>
        <w:t>    </w:t>
      </w:r>
      <w:r>
        <w:rPr>
          <w:rFonts w:hint="eastAsia"/>
        </w:rPr>
        <w:t>本报告期公司无委托理财事项。</w:t>
      </w:r>
    </w:p>
    <w:p w:rsidR="00367BED" w:rsidRDefault="00367BED" w:rsidP="00367BED">
      <w:pPr>
        <w:widowControl/>
        <w:divId w:val="852186394"/>
        <w:rPr>
          <w:rFonts w:hAnsi="宋体" w:cs="宋体"/>
          <w:szCs w:val="21"/>
        </w:rPr>
      </w:pPr>
    </w:p>
    <w:p w:rsidR="00367BED" w:rsidRDefault="00367BED" w:rsidP="00367BED">
      <w:pPr>
        <w:numPr>
          <w:ilvl w:val="4"/>
          <w:numId w:val="1"/>
        </w:numPr>
        <w:spacing w:line="288" w:lineRule="auto"/>
        <w:jc w:val="left"/>
        <w:outlineLvl w:val="4"/>
        <w:divId w:val="852186394"/>
        <w:rPr>
          <w:b/>
          <w:bCs/>
          <w:szCs w:val="18"/>
        </w:rPr>
      </w:pPr>
      <w:r>
        <w:rPr>
          <w:rFonts w:hint="eastAsia"/>
          <w:b/>
          <w:bCs/>
        </w:rPr>
        <w:t>委托贷款情况</w:t>
      </w:r>
    </w:p>
    <w:p w:rsidR="00367BED" w:rsidRDefault="00367BED" w:rsidP="00367BED">
      <w:pPr>
        <w:divId w:val="852186394"/>
      </w:pPr>
      <w:r>
        <w:t>    </w:t>
      </w:r>
      <w:r>
        <w:rPr>
          <w:rFonts w:hint="eastAsia"/>
        </w:rPr>
        <w:t>本报告期公司无委托贷款事项。</w:t>
      </w:r>
    </w:p>
    <w:p w:rsidR="00367BED" w:rsidRDefault="00367BED" w:rsidP="00367BED">
      <w:pPr>
        <w:widowControl/>
        <w:spacing w:after="240"/>
        <w:divId w:val="852186394"/>
        <w:rPr>
          <w:rFonts w:hAnsi="宋体" w:cs="宋体"/>
          <w:szCs w:val="21"/>
        </w:rPr>
      </w:pPr>
    </w:p>
    <w:p w:rsidR="00367BED" w:rsidRDefault="00367BED" w:rsidP="00367BED">
      <w:pPr>
        <w:numPr>
          <w:ilvl w:val="3"/>
          <w:numId w:val="1"/>
        </w:numPr>
        <w:spacing w:line="288" w:lineRule="auto"/>
        <w:jc w:val="left"/>
        <w:outlineLvl w:val="3"/>
        <w:divId w:val="852186394"/>
        <w:rPr>
          <w:b/>
          <w:bCs/>
          <w:szCs w:val="18"/>
        </w:rPr>
      </w:pPr>
      <w:r>
        <w:rPr>
          <w:rFonts w:hint="eastAsia"/>
          <w:b/>
          <w:bCs/>
        </w:rPr>
        <w:t>募集资金使用情况</w:t>
      </w:r>
    </w:p>
    <w:p w:rsidR="00367BED" w:rsidRDefault="00367BED" w:rsidP="00367BED">
      <w:pPr>
        <w:divId w:val="852186394"/>
      </w:pPr>
      <w:r>
        <w:t>    </w:t>
      </w:r>
      <w:r>
        <w:rPr>
          <w:rFonts w:hint="eastAsia"/>
        </w:rPr>
        <w:t>截至</w:t>
      </w:r>
      <w:r>
        <w:t>2013</w:t>
      </w:r>
      <w:r>
        <w:rPr>
          <w:rFonts w:hint="eastAsia"/>
        </w:rPr>
        <w:t>年</w:t>
      </w:r>
      <w:r>
        <w:t>6</w:t>
      </w:r>
      <w:r>
        <w:rPr>
          <w:rFonts w:hint="eastAsia"/>
        </w:rPr>
        <w:t>月</w:t>
      </w:r>
      <w:r>
        <w:t>30</w:t>
      </w:r>
      <w:r>
        <w:rPr>
          <w:rFonts w:hint="eastAsia"/>
        </w:rPr>
        <w:t>日，公司募集资金累计投入</w:t>
      </w:r>
      <w:r>
        <w:t>90,580.40</w:t>
      </w:r>
      <w:r>
        <w:rPr>
          <w:rFonts w:hint="eastAsia"/>
        </w:rPr>
        <w:t>万元，尚未使用的金额为</w:t>
      </w:r>
      <w:r>
        <w:t>68,919.69</w:t>
      </w:r>
      <w:r>
        <w:rPr>
          <w:rFonts w:hint="eastAsia"/>
        </w:rPr>
        <w:t>万元。详情请参见</w:t>
      </w:r>
      <w:r>
        <w:t>2013</w:t>
      </w:r>
      <w:r>
        <w:rPr>
          <w:rFonts w:hint="eastAsia"/>
        </w:rPr>
        <w:t>年</w:t>
      </w:r>
      <w:r>
        <w:t>8</w:t>
      </w:r>
      <w:r>
        <w:rPr>
          <w:rFonts w:hint="eastAsia"/>
        </w:rPr>
        <w:t>月</w:t>
      </w:r>
      <w:r>
        <w:t>30</w:t>
      </w:r>
      <w:r>
        <w:rPr>
          <w:rFonts w:hint="eastAsia"/>
        </w:rPr>
        <w:t>日刊登于《中国证券报》、《上海证券报》和上海证券交易所网站的《募集资金存放与实际使用情况的专项报告》。</w:t>
      </w:r>
    </w:p>
    <w:p w:rsidR="00367BED" w:rsidRDefault="00367BED" w:rsidP="00367BED">
      <w:pPr>
        <w:widowControl/>
        <w:divId w:val="852186394"/>
        <w:rPr>
          <w:rFonts w:hAnsi="宋体" w:cs="宋体"/>
          <w:szCs w:val="21"/>
        </w:rPr>
      </w:pPr>
    </w:p>
    <w:p w:rsidR="00367BED" w:rsidRDefault="00367BED" w:rsidP="00367BED">
      <w:pPr>
        <w:numPr>
          <w:ilvl w:val="3"/>
          <w:numId w:val="1"/>
        </w:numPr>
        <w:spacing w:line="288" w:lineRule="auto"/>
        <w:jc w:val="left"/>
        <w:outlineLvl w:val="3"/>
        <w:divId w:val="852186394"/>
        <w:rPr>
          <w:b/>
          <w:bCs/>
          <w:szCs w:val="18"/>
        </w:rPr>
      </w:pPr>
      <w:r>
        <w:rPr>
          <w:rFonts w:hint="eastAsia"/>
          <w:b/>
          <w:bCs/>
        </w:rPr>
        <w:t>主要子公司、参股公司分析</w:t>
      </w:r>
    </w:p>
    <w:p w:rsidR="00367BED" w:rsidRDefault="00367BED" w:rsidP="00367BED">
      <w:pPr>
        <w:spacing w:line="288" w:lineRule="auto"/>
        <w:ind w:firstLineChars="150" w:firstLine="315"/>
        <w:jc w:val="left"/>
        <w:outlineLvl w:val="3"/>
        <w:divId w:val="852186394"/>
        <w:rPr>
          <w:b/>
          <w:bCs/>
          <w:szCs w:val="18"/>
        </w:rPr>
      </w:pPr>
      <w:r>
        <w:rPr>
          <w:rFonts w:hint="eastAsia"/>
        </w:rPr>
        <w:t>公司不存在单个子公司的净利润或单个参股公司的投资收益对公司净利润影响达到</w:t>
      </w:r>
      <w:r>
        <w:t>10%</w:t>
      </w:r>
      <w:r>
        <w:rPr>
          <w:rFonts w:hint="eastAsia"/>
        </w:rPr>
        <w:t>以上的情况。主要子公司情况请参见财务会计报告中会计报表附注四；参股公司情况请参见财务会计报告中会计报表附注五、</w:t>
      </w:r>
      <w:r>
        <w:t>10-11</w:t>
      </w:r>
      <w:r>
        <w:rPr>
          <w:rFonts w:hint="eastAsia"/>
        </w:rPr>
        <w:t>。</w:t>
      </w:r>
    </w:p>
    <w:p w:rsidR="00367BED" w:rsidRDefault="00367BED" w:rsidP="00367BED">
      <w:pPr>
        <w:spacing w:line="288" w:lineRule="auto"/>
        <w:jc w:val="left"/>
        <w:outlineLvl w:val="3"/>
        <w:divId w:val="852186394"/>
      </w:pPr>
    </w:p>
    <w:p w:rsidR="00367BED" w:rsidRDefault="00367BED" w:rsidP="00367BED">
      <w:pPr>
        <w:spacing w:line="288" w:lineRule="auto"/>
        <w:jc w:val="left"/>
        <w:outlineLvl w:val="3"/>
        <w:divId w:val="852186394"/>
        <w:rPr>
          <w:b/>
          <w:bCs/>
          <w:szCs w:val="18"/>
        </w:rPr>
      </w:pPr>
      <w:r>
        <w:rPr>
          <w:b/>
          <w:bCs/>
        </w:rPr>
        <w:t>5</w:t>
      </w:r>
      <w:r>
        <w:rPr>
          <w:rFonts w:hint="eastAsia"/>
          <w:b/>
          <w:bCs/>
        </w:rPr>
        <w:t>、非募集资金项目情况</w:t>
      </w:r>
    </w:p>
    <w:p w:rsidR="00367BED" w:rsidRDefault="00367BED" w:rsidP="00367BED">
      <w:pPr>
        <w:widowControl/>
        <w:ind w:firstLineChars="150" w:firstLine="315"/>
        <w:divId w:val="852186394"/>
      </w:pPr>
      <w:r>
        <w:rPr>
          <w:rFonts w:hint="eastAsia"/>
        </w:rPr>
        <w:t>报告期内，公司无非募集资金投资项目。</w:t>
      </w:r>
    </w:p>
    <w:p w:rsidR="001E4CDD" w:rsidRDefault="001E4CDD" w:rsidP="001E4CDD">
      <w:pPr>
        <w:spacing w:line="288" w:lineRule="auto"/>
        <w:jc w:val="left"/>
        <w:outlineLvl w:val="1"/>
        <w:divId w:val="852186394"/>
        <w:rPr>
          <w:rFonts w:hAnsi="宋体" w:cs="宋体"/>
          <w:szCs w:val="21"/>
        </w:rPr>
      </w:pPr>
    </w:p>
    <w:p w:rsidR="00367BED" w:rsidRDefault="00367BED" w:rsidP="00367BED">
      <w:pPr>
        <w:numPr>
          <w:ilvl w:val="2"/>
          <w:numId w:val="1"/>
        </w:numPr>
        <w:spacing w:line="288" w:lineRule="auto"/>
        <w:jc w:val="left"/>
        <w:outlineLvl w:val="2"/>
        <w:divId w:val="852186394"/>
        <w:rPr>
          <w:rFonts w:hAnsi="宋体"/>
          <w:b/>
          <w:bCs/>
          <w:szCs w:val="20"/>
        </w:rPr>
      </w:pPr>
      <w:r>
        <w:rPr>
          <w:rFonts w:hint="eastAsia"/>
          <w:b/>
          <w:bCs/>
        </w:rPr>
        <w:t>报告期实施的利润分配方案的执行或调整情况</w:t>
      </w:r>
    </w:p>
    <w:p w:rsidR="00367BED" w:rsidRDefault="00367BED" w:rsidP="0044182C">
      <w:pPr>
        <w:ind w:firstLineChars="150" w:firstLine="315"/>
        <w:divId w:val="852186394"/>
      </w:pPr>
      <w:r>
        <w:rPr>
          <w:rFonts w:hint="eastAsia"/>
        </w:rPr>
        <w:t>公司于</w:t>
      </w:r>
      <w:r>
        <w:t>2013</w:t>
      </w:r>
      <w:r>
        <w:rPr>
          <w:rFonts w:hint="eastAsia"/>
        </w:rPr>
        <w:t>年</w:t>
      </w:r>
      <w:r>
        <w:t>5</w:t>
      </w:r>
      <w:r>
        <w:rPr>
          <w:rFonts w:hint="eastAsia"/>
        </w:rPr>
        <w:t>月</w:t>
      </w:r>
      <w:r>
        <w:t>8</w:t>
      </w:r>
      <w:r>
        <w:rPr>
          <w:rFonts w:hint="eastAsia"/>
        </w:rPr>
        <w:t>日召开的</w:t>
      </w:r>
      <w:r>
        <w:t>2012</w:t>
      </w:r>
      <w:r>
        <w:rPr>
          <w:rFonts w:hint="eastAsia"/>
        </w:rPr>
        <w:t>年度股东大会审议通过了</w:t>
      </w:r>
      <w:r>
        <w:t>2012</w:t>
      </w:r>
      <w:r>
        <w:rPr>
          <w:rFonts w:hint="eastAsia"/>
        </w:rPr>
        <w:t>年度向全体股东每</w:t>
      </w:r>
      <w:r>
        <w:t xml:space="preserve">10 </w:t>
      </w:r>
      <w:r>
        <w:rPr>
          <w:rFonts w:hint="eastAsia"/>
        </w:rPr>
        <w:t>股派发现金红利</w:t>
      </w:r>
      <w:r>
        <w:t>1.00</w:t>
      </w:r>
      <w:r>
        <w:rPr>
          <w:rFonts w:hint="eastAsia"/>
        </w:rPr>
        <w:t>元（含税）的利润分配方案，并于</w:t>
      </w:r>
      <w:r>
        <w:t>2013</w:t>
      </w:r>
      <w:r>
        <w:rPr>
          <w:rFonts w:hint="eastAsia"/>
        </w:rPr>
        <w:t>年</w:t>
      </w:r>
      <w:r>
        <w:t>6</w:t>
      </w:r>
      <w:r>
        <w:rPr>
          <w:rFonts w:hint="eastAsia"/>
        </w:rPr>
        <w:t>月</w:t>
      </w:r>
      <w:r>
        <w:t>24</w:t>
      </w:r>
      <w:r>
        <w:rPr>
          <w:rFonts w:hint="eastAsia"/>
        </w:rPr>
        <w:t>日披露了</w:t>
      </w:r>
      <w:r>
        <w:t>2012</w:t>
      </w:r>
      <w:r>
        <w:rPr>
          <w:rFonts w:hint="eastAsia"/>
        </w:rPr>
        <w:t>年度分红派息实施公告，现金红利发放日为</w:t>
      </w:r>
      <w:r>
        <w:t>2013</w:t>
      </w:r>
      <w:r>
        <w:rPr>
          <w:rFonts w:hint="eastAsia"/>
        </w:rPr>
        <w:t>年</w:t>
      </w:r>
      <w:r>
        <w:t>7</w:t>
      </w:r>
      <w:r>
        <w:rPr>
          <w:rFonts w:hint="eastAsia"/>
        </w:rPr>
        <w:t>月</w:t>
      </w:r>
      <w:r>
        <w:t>4</w:t>
      </w:r>
      <w:r>
        <w:rPr>
          <w:rFonts w:hint="eastAsia"/>
        </w:rPr>
        <w:t>日。</w:t>
      </w:r>
    </w:p>
    <w:p w:rsidR="00367BED" w:rsidRDefault="00367BED" w:rsidP="00367BED">
      <w:pPr>
        <w:divId w:val="852186394"/>
        <w:rPr>
          <w:rFonts w:cs="宋体"/>
          <w:szCs w:val="21"/>
        </w:rPr>
      </w:pPr>
    </w:p>
    <w:p w:rsidR="00367BED" w:rsidRDefault="00367BED" w:rsidP="00367BED">
      <w:pPr>
        <w:numPr>
          <w:ilvl w:val="2"/>
          <w:numId w:val="1"/>
        </w:numPr>
        <w:spacing w:line="288" w:lineRule="auto"/>
        <w:jc w:val="left"/>
        <w:outlineLvl w:val="2"/>
        <w:divId w:val="852186394"/>
        <w:rPr>
          <w:rFonts w:hAnsi="宋体"/>
          <w:b/>
          <w:bCs/>
          <w:szCs w:val="20"/>
        </w:rPr>
      </w:pPr>
      <w:r>
        <w:rPr>
          <w:rFonts w:hint="eastAsia"/>
          <w:b/>
          <w:bCs/>
        </w:rPr>
        <w:t>董事会、监事会对会计师事务所“非标准审计报告”的说明</w:t>
      </w:r>
    </w:p>
    <w:p w:rsidR="00367BED" w:rsidRDefault="00367BED" w:rsidP="00367BED">
      <w:pPr>
        <w:divId w:val="852186394"/>
      </w:pPr>
      <w:r>
        <w:rPr>
          <w:rFonts w:hint="eastAsia"/>
        </w:rPr>
        <w:t>√</w:t>
      </w:r>
      <w:r>
        <w:t xml:space="preserve"> </w:t>
      </w:r>
      <w:r>
        <w:rPr>
          <w:rFonts w:hint="eastAsia"/>
        </w:rPr>
        <w:t>不适用</w:t>
      </w:r>
    </w:p>
    <w:p w:rsidR="00367BED" w:rsidRDefault="00367BED" w:rsidP="00367BED">
      <w:pPr>
        <w:divId w:val="852186394"/>
        <w:rPr>
          <w:rFonts w:cs="宋体"/>
          <w:szCs w:val="21"/>
        </w:rPr>
      </w:pPr>
    </w:p>
    <w:p w:rsidR="0044182C" w:rsidRDefault="00FA1AF7" w:rsidP="0044182C">
      <w:pPr>
        <w:widowControl/>
        <w:spacing w:after="240"/>
        <w:divId w:val="852186394"/>
      </w:pPr>
      <w:r>
        <w:rPr>
          <w:rFonts w:hAnsi="宋体" w:cs="宋体" w:hint="eastAsia"/>
          <w:szCs w:val="21"/>
        </w:rPr>
        <w:br/>
      </w:r>
    </w:p>
    <w:p w:rsidR="0044182C" w:rsidRDefault="0044182C" w:rsidP="0044182C">
      <w:pPr>
        <w:widowControl/>
        <w:spacing w:after="240"/>
        <w:ind w:firstLineChars="2350" w:firstLine="4935"/>
        <w:divId w:val="852186394"/>
      </w:pPr>
    </w:p>
    <w:p w:rsidR="007A3704" w:rsidRDefault="001E4CDD" w:rsidP="003E4BB1">
      <w:pPr>
        <w:ind w:firstLineChars="150" w:firstLine="315"/>
        <w:jc w:val="right"/>
      </w:pPr>
      <w:r>
        <w:rPr>
          <w:rFonts w:hint="eastAsia"/>
        </w:rPr>
        <w:t>董事长：</w:t>
      </w:r>
      <w:r w:rsidR="007A3704">
        <w:rPr>
          <w:rFonts w:hint="eastAsia"/>
        </w:rPr>
        <w:t>郭章鹏</w:t>
      </w:r>
    </w:p>
    <w:p w:rsidR="001E4CDD" w:rsidRDefault="001E4CDD" w:rsidP="003E4BB1">
      <w:pPr>
        <w:ind w:firstLineChars="150" w:firstLine="315"/>
        <w:jc w:val="right"/>
      </w:pPr>
      <w:r>
        <w:rPr>
          <w:rFonts w:hint="eastAsia"/>
        </w:rPr>
        <w:t>北京歌华有线电视网络股份有限公司</w:t>
      </w:r>
    </w:p>
    <w:p w:rsidR="001E4CDD" w:rsidRDefault="001E4CDD" w:rsidP="003E4BB1">
      <w:pPr>
        <w:ind w:firstLineChars="150" w:firstLine="315"/>
        <w:jc w:val="right"/>
      </w:pPr>
      <w:r>
        <w:t>2013</w:t>
      </w:r>
      <w:r>
        <w:rPr>
          <w:rFonts w:hint="eastAsia"/>
        </w:rPr>
        <w:t>年</w:t>
      </w:r>
      <w:r>
        <w:t>8</w:t>
      </w:r>
      <w:r>
        <w:rPr>
          <w:rFonts w:hint="eastAsia"/>
        </w:rPr>
        <w:t>月</w:t>
      </w:r>
      <w:r>
        <w:t>29</w:t>
      </w:r>
      <w:r>
        <w:rPr>
          <w:rFonts w:hint="eastAsia"/>
        </w:rPr>
        <w:t>日</w:t>
      </w:r>
    </w:p>
    <w:p w:rsidR="00D56DF8" w:rsidRPr="002D61A9" w:rsidRDefault="00D56DF8" w:rsidP="002D61A9">
      <w:pPr>
        <w:jc w:val="center"/>
        <w:rPr>
          <w:rFonts w:ascii="黑体" w:eastAsia="黑体"/>
          <w:b/>
          <w:sz w:val="32"/>
          <w:szCs w:val="32"/>
        </w:rPr>
      </w:pPr>
    </w:p>
    <w:sectPr w:rsidR="00D56DF8" w:rsidRPr="002D61A9" w:rsidSect="008627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2A" w:rsidRDefault="009F412A">
      <w:r>
        <w:separator/>
      </w:r>
    </w:p>
  </w:endnote>
  <w:endnote w:type="continuationSeparator" w:id="0">
    <w:p w:rsidR="009F412A" w:rsidRDefault="009F4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06" w:rsidRDefault="0084621E" w:rsidP="00D66F63">
    <w:pPr>
      <w:pStyle w:val="a5"/>
      <w:framePr w:wrap="around" w:vAnchor="text" w:hAnchor="margin" w:xAlign="center" w:y="1"/>
      <w:rPr>
        <w:rStyle w:val="a6"/>
      </w:rPr>
    </w:pPr>
    <w:r>
      <w:rPr>
        <w:rStyle w:val="a6"/>
      </w:rPr>
      <w:fldChar w:fldCharType="begin"/>
    </w:r>
    <w:r w:rsidR="00880D06">
      <w:rPr>
        <w:rStyle w:val="a6"/>
      </w:rPr>
      <w:instrText xml:space="preserve">PAGE  </w:instrText>
    </w:r>
    <w:r>
      <w:rPr>
        <w:rStyle w:val="a6"/>
      </w:rPr>
      <w:fldChar w:fldCharType="end"/>
    </w:r>
  </w:p>
  <w:p w:rsidR="00880D06" w:rsidRDefault="00880D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06" w:rsidRDefault="0084621E" w:rsidP="00D66F63">
    <w:pPr>
      <w:pStyle w:val="a5"/>
      <w:framePr w:wrap="around" w:vAnchor="text" w:hAnchor="margin" w:xAlign="center" w:y="1"/>
      <w:rPr>
        <w:rStyle w:val="a6"/>
      </w:rPr>
    </w:pPr>
    <w:r>
      <w:rPr>
        <w:rStyle w:val="a6"/>
      </w:rPr>
      <w:fldChar w:fldCharType="begin"/>
    </w:r>
    <w:r w:rsidR="00880D06">
      <w:rPr>
        <w:rStyle w:val="a6"/>
      </w:rPr>
      <w:instrText xml:space="preserve">PAGE  </w:instrText>
    </w:r>
    <w:r>
      <w:rPr>
        <w:rStyle w:val="a6"/>
      </w:rPr>
      <w:fldChar w:fldCharType="separate"/>
    </w:r>
    <w:r w:rsidR="00A0140A">
      <w:rPr>
        <w:rStyle w:val="a6"/>
        <w:noProof/>
      </w:rPr>
      <w:t>6</w:t>
    </w:r>
    <w:r>
      <w:rPr>
        <w:rStyle w:val="a6"/>
      </w:rPr>
      <w:fldChar w:fldCharType="end"/>
    </w:r>
  </w:p>
  <w:p w:rsidR="00880D06" w:rsidRDefault="00880D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0A" w:rsidRDefault="00A014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2A" w:rsidRDefault="009F412A">
      <w:r>
        <w:separator/>
      </w:r>
    </w:p>
  </w:footnote>
  <w:footnote w:type="continuationSeparator" w:id="0">
    <w:p w:rsidR="009F412A" w:rsidRDefault="009F4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0A" w:rsidRDefault="00A014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A" w:rsidRDefault="00FA1AF7" w:rsidP="00FA1AF7">
    <w:pPr>
      <w:pStyle w:val="a4"/>
      <w:pBdr>
        <w:bottom w:val="none" w:sz="0" w:space="0" w:color="auto"/>
      </w:pBdr>
    </w:pPr>
    <w:r>
      <w:rPr>
        <w:rFonts w:hint="eastAsia"/>
      </w:rPr>
      <w:t>北京歌华有线电视网络股份有限公司</w:t>
    </w:r>
    <w:r>
      <w:rPr>
        <w:rFonts w:hint="eastAsia"/>
      </w:rPr>
      <w:t xml:space="preserve"> 2013</w:t>
    </w:r>
    <w:r>
      <w:rPr>
        <w:rFonts w:hint="eastAsia"/>
      </w:rPr>
      <w:t>年半年度报告摘要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0A" w:rsidRDefault="00A014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27420"/>
    <w:multiLevelType w:val="multilevel"/>
    <w:tmpl w:val="10CA7C20"/>
    <w:name w:val="LidoGB0301"/>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1A9"/>
    <w:rsid w:val="00066F12"/>
    <w:rsid w:val="000749AC"/>
    <w:rsid w:val="0008729B"/>
    <w:rsid w:val="001667B6"/>
    <w:rsid w:val="001E4CDD"/>
    <w:rsid w:val="00255CAE"/>
    <w:rsid w:val="002642A5"/>
    <w:rsid w:val="002B6805"/>
    <w:rsid w:val="002D61A9"/>
    <w:rsid w:val="00367BED"/>
    <w:rsid w:val="003E0D67"/>
    <w:rsid w:val="003E4BB1"/>
    <w:rsid w:val="003F1016"/>
    <w:rsid w:val="0044182C"/>
    <w:rsid w:val="004544C9"/>
    <w:rsid w:val="007A3704"/>
    <w:rsid w:val="008266D5"/>
    <w:rsid w:val="0084621E"/>
    <w:rsid w:val="00862765"/>
    <w:rsid w:val="00880D06"/>
    <w:rsid w:val="009F412A"/>
    <w:rsid w:val="00A0140A"/>
    <w:rsid w:val="00AA3278"/>
    <w:rsid w:val="00D56DF8"/>
    <w:rsid w:val="00D66F63"/>
    <w:rsid w:val="00E05395"/>
    <w:rsid w:val="00EC244A"/>
    <w:rsid w:val="00FA1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C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A3278"/>
    <w:pPr>
      <w:shd w:val="clear" w:color="auto" w:fill="000080"/>
    </w:pPr>
  </w:style>
  <w:style w:type="paragraph" w:styleId="a4">
    <w:name w:val="header"/>
    <w:basedOn w:val="a"/>
    <w:rsid w:val="00AA3278"/>
    <w:pPr>
      <w:pBdr>
        <w:bottom w:val="single" w:sz="6" w:space="1" w:color="auto"/>
      </w:pBdr>
      <w:tabs>
        <w:tab w:val="center" w:pos="4153"/>
        <w:tab w:val="right" w:pos="8306"/>
      </w:tabs>
      <w:snapToGrid w:val="0"/>
      <w:jc w:val="center"/>
    </w:pPr>
    <w:rPr>
      <w:sz w:val="18"/>
      <w:szCs w:val="18"/>
    </w:rPr>
  </w:style>
  <w:style w:type="paragraph" w:styleId="a5">
    <w:name w:val="footer"/>
    <w:basedOn w:val="a"/>
    <w:rsid w:val="00AA3278"/>
    <w:pPr>
      <w:tabs>
        <w:tab w:val="center" w:pos="4153"/>
        <w:tab w:val="right" w:pos="8306"/>
      </w:tabs>
      <w:snapToGrid w:val="0"/>
      <w:jc w:val="left"/>
    </w:pPr>
    <w:rPr>
      <w:sz w:val="18"/>
      <w:szCs w:val="18"/>
    </w:rPr>
  </w:style>
  <w:style w:type="character" w:styleId="a6">
    <w:name w:val="page number"/>
    <w:basedOn w:val="a0"/>
    <w:rsid w:val="00880D06"/>
  </w:style>
  <w:style w:type="paragraph" w:styleId="a7">
    <w:name w:val="List Paragraph"/>
    <w:basedOn w:val="a"/>
    <w:uiPriority w:val="34"/>
    <w:qFormat/>
    <w:rsid w:val="00367BED"/>
    <w:pPr>
      <w:ind w:firstLineChars="200" w:firstLine="420"/>
    </w:pPr>
  </w:style>
  <w:style w:type="paragraph" w:styleId="a8">
    <w:name w:val="Balloon Text"/>
    <w:basedOn w:val="a"/>
    <w:link w:val="Char"/>
    <w:rsid w:val="0044182C"/>
    <w:rPr>
      <w:sz w:val="18"/>
      <w:szCs w:val="18"/>
    </w:rPr>
  </w:style>
  <w:style w:type="character" w:customStyle="1" w:styleId="Char">
    <w:name w:val="批注框文本 Char"/>
    <w:basedOn w:val="a0"/>
    <w:link w:val="a8"/>
    <w:rsid w:val="0044182C"/>
    <w:rPr>
      <w:kern w:val="2"/>
      <w:sz w:val="18"/>
      <w:szCs w:val="18"/>
    </w:rPr>
  </w:style>
</w:styles>
</file>

<file path=word/webSettings.xml><?xml version="1.0" encoding="utf-8"?>
<w:webSettings xmlns:r="http://schemas.openxmlformats.org/officeDocument/2006/relationships" xmlns:w="http://schemas.openxmlformats.org/wordprocessingml/2006/main">
  <w:divs>
    <w:div w:id="852186394">
      <w:bodyDiv w:val="1"/>
      <w:marLeft w:val="0"/>
      <w:marRight w:val="0"/>
      <w:marTop w:val="0"/>
      <w:marBottom w:val="0"/>
      <w:divBdr>
        <w:top w:val="none" w:sz="0" w:space="0" w:color="auto"/>
        <w:left w:val="none" w:sz="0" w:space="0" w:color="auto"/>
        <w:bottom w:val="none" w:sz="0" w:space="0" w:color="auto"/>
        <w:right w:val="none" w:sz="0" w:space="0" w:color="auto"/>
      </w:divBdr>
    </w:div>
    <w:div w:id="20672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4439</Words>
  <Characters>1466</Characters>
  <Application>Microsoft Office Word</Application>
  <DocSecurity>0</DocSecurity>
  <Lines>12</Lines>
  <Paragraphs>11</Paragraphs>
  <ScaleCrop>false</ScaleCrop>
  <Company>微软中国</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#COMP_NAME_CN#</dc:title>
  <dc:subject/>
  <dc:creator>Administrator</dc:creator>
  <cp:keywords/>
  <dc:description/>
  <cp:lastModifiedBy>于铁静</cp:lastModifiedBy>
  <cp:revision>7</cp:revision>
  <cp:lastPrinted>2013-08-26T03:56:00Z</cp:lastPrinted>
  <dcterms:created xsi:type="dcterms:W3CDTF">2013-08-22T04:20:00Z</dcterms:created>
  <dcterms:modified xsi:type="dcterms:W3CDTF">2013-08-29T03:39:00Z</dcterms:modified>
</cp:coreProperties>
</file>